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default"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lang w:eastAsia="zh-CN"/>
        </w:rPr>
        <w:t>市水利和湖泊局</w:t>
      </w:r>
      <w:r>
        <w:rPr>
          <w:rFonts w:hint="eastAsia" w:ascii="方正小标宋简体" w:hAnsi="方正小标宋简体" w:eastAsia="方正小标宋简体" w:cs="方正小标宋简体"/>
          <w:b w:val="0"/>
          <w:color w:val="auto"/>
          <w:sz w:val="44"/>
          <w:szCs w:val="44"/>
          <w:lang w:val="en-US" w:eastAsia="zh-CN"/>
        </w:rPr>
        <w:t>2021年度</w:t>
      </w:r>
      <w:r>
        <w:rPr>
          <w:rFonts w:ascii="方正小标宋简体" w:hAnsi="方正小标宋简体" w:eastAsia="方正小标宋简体" w:cs="方正小标宋简体"/>
          <w:b w:val="0"/>
          <w:color w:val="auto"/>
          <w:sz w:val="44"/>
          <w:szCs w:val="44"/>
        </w:rPr>
        <w:t>部门决算公开说明</w:t>
      </w:r>
    </w:p>
    <w:p>
      <w:pPr>
        <w:pStyle w:val="15"/>
        <w:keepNext w:val="0"/>
        <w:keepLines w:val="0"/>
        <w:pageBreakBefore w:val="0"/>
        <w:kinsoku/>
        <w:wordWrap/>
        <w:overflowPunct/>
        <w:topLinePunct w:val="0"/>
        <w:autoSpaceDE/>
        <w:autoSpaceDN/>
        <w:bidi w:val="0"/>
        <w:adjustRightInd/>
        <w:snapToGrid/>
        <w:spacing w:line="640" w:lineRule="exact"/>
        <w:ind w:firstLine="0"/>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目  录</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第一部分 单位概况</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（二）机构设置</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（三）年度主要工作任务及目标</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 xml:space="preserve">第二部分 </w:t>
      </w:r>
      <w:r>
        <w:rPr>
          <w:rFonts w:hint="eastAsia" w:ascii="楷体_GB2312" w:hAnsi="楷体_GB2312" w:eastAsia="楷体_GB2312" w:cs="楷体_GB2312"/>
          <w:color w:val="auto"/>
          <w:kern w:val="0"/>
          <w:sz w:val="32"/>
          <w:szCs w:val="32"/>
          <w:lang w:eastAsia="zh-CN"/>
        </w:rPr>
        <w:t>2021</w:t>
      </w:r>
      <w:r>
        <w:rPr>
          <w:rFonts w:hint="eastAsia" w:ascii="楷体_GB2312" w:hAnsi="楷体_GB2312" w:eastAsia="楷体_GB2312" w:cs="楷体_GB2312"/>
          <w:color w:val="auto"/>
          <w:kern w:val="0"/>
          <w:sz w:val="32"/>
          <w:szCs w:val="32"/>
        </w:rPr>
        <w:t>年度部门决算表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（七）财政拨款“三公”经费支出决算表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 xml:space="preserve">第三部分 </w:t>
      </w:r>
      <w:r>
        <w:rPr>
          <w:rFonts w:hint="eastAsia" w:ascii="楷体_GB2312" w:hAnsi="楷体_GB2312" w:eastAsia="楷体_GB2312" w:cs="楷体_GB2312"/>
          <w:color w:val="auto"/>
          <w:kern w:val="0"/>
          <w:sz w:val="32"/>
          <w:szCs w:val="32"/>
          <w:lang w:eastAsia="zh-CN"/>
        </w:rPr>
        <w:t>2021</w:t>
      </w:r>
      <w:r>
        <w:rPr>
          <w:rFonts w:hint="eastAsia" w:ascii="楷体_GB2312" w:hAnsi="楷体_GB2312" w:eastAsia="楷体_GB2312" w:cs="楷体_GB2312"/>
          <w:color w:val="auto"/>
          <w:kern w:val="0"/>
          <w:sz w:val="32"/>
          <w:szCs w:val="32"/>
        </w:rPr>
        <w:t>年度部门决算安排情况说明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（一）部门决算收支情况总体说明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（二）部门决算收支增减变化情况说明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（三）机关运行执行情况说明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（四）政府采购执行情况说明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（五）一般公共预算“三公”经费支出情况说明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（六）国有资产占用情况说明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年度预算绩效执行情况说明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（八）政府性基金支出决算表有关情况说明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（九）国有资本经营预算支出有关情况说明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（十）扶贫资金安排情况说明</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第四部分 名词解释</w:t>
      </w: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eastAsia" w:ascii="黑体" w:hAnsi="黑体" w:eastAsia="黑体" w:cs="黑体"/>
          <w:color w:val="auto"/>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第一部分 单位概况</w:t>
      </w:r>
    </w:p>
    <w:p>
      <w:pPr>
        <w:pStyle w:val="15"/>
        <w:keepNext w:val="0"/>
        <w:keepLines w:val="0"/>
        <w:pageBreakBefore w:val="0"/>
        <w:kinsoku/>
        <w:wordWrap/>
        <w:overflowPunct/>
        <w:topLinePunct w:val="0"/>
        <w:autoSpaceDE/>
        <w:autoSpaceDN/>
        <w:bidi w:val="0"/>
        <w:adjustRightInd/>
        <w:snapToGrid/>
        <w:spacing w:line="640" w:lineRule="exact"/>
        <w:jc w:val="lef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（一）主要职能</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省委办公厅、省政府办公厅关于印发〈咸宁市机构改革方案〉的通知》和《中共咸宁市委、咸宁市人民政府关于咸宁市市级机构改革的实施意见》，市水利和湖泊局是市政府工作部门，对外加挂市河湖长制办公室牌子。主要职能为：</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1.指导水资源的合理开发利用。起草有关地方性水利政策规章草案。组织编制全市水资源战略规划、重要江河湖泊流域综合规划、防洪规划等重大水利规划。</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指导生活、生产经营和生态环境用水的统筹和保障。组织实施最严格水资源管理制度，实施水资源的统一监督管理。拟订全市和跨区域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按照规定权限，落实水利工程建设的有关制度。审批规划内和年度计划规模内水利投资项目并监督管理项目实施。提出本级水利资金安排建议并负责项目实施的监督管理。拟订全市水利综合发展规划、专业规划，指导县市区水利规划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指导水资源保护工作。组织编制并实施水资源保护规划。指导饮用水水源保护有关工作，指导地下水开发利用和地下水资源管理保护。组织指导地下水超采区综合治理。按规定组织开展水资源、水能资源调查评价和水资源承载能力监测预警工作。组织编制并发布全市水资源公报。</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5.负责节约用水工作。组织编制节约用水规划并监督实施，指导和推动节水型社会建设工作。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指导水利设施、水域及其岸线的管理、保护与综合利用。组织指导水利基础设施网络建设。指导江河湖库的治理、开发和保护。指导河湖水生态保护与修复、河湖生态流量水量管理以及河湖水系连通工作。指导全面推行河湖长制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指导监督水利工程建设与运行管理。履行本行业（领域）安全生产监督管理职责和质量监督工作，指导落实水利行业的技术标准、规程规范。指导水库、农村水电站的安全监管。指导水利建设市场和水利工程建设的监督管理。</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8.指导水土保持工作。拟订水土保持规划并监督实施，指导实施水土流失的综合防治、监测预报，组织编制水土保持公告。按规定监督管理建设项目水土保持工作。指导水土保持建设项目的实施。</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指导农村水利工作。指导大中型灌排工程建设与改造。指导农村饮水安全工程建设与管理工作，指导节水灌溉有关工作。指导农村水利改革创新和社会化服务体系建设。指导农村水能资源开发、小水电改造和水电农村电气化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10.指导水利工程移民管理工作。监督落实国家和省关于水利工程移民的有关政策措施，指导实施有关水利工程移民安置的验收、监督评估等制度。指导监督有关水利工程移民后期扶持工作。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11.指导水政监察和水行政执法。指导水事违法事件的查处，组织开展重大水事违法事件的查处，协调和仲裁跨县（市、区）水事纠纷。</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12.开展水利科技、信息化和对外交流合作工作。组织编制水利信息化发展规划并组织实施。组织开展水利行业对外交流合作工作。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负责落实综合防灾减灾规划相关要求，组织编制洪水干旱灾害防治规划和防护标准并指导实施。组织编制重要江河湖库和重要水工程的防御洪水抗御旱灾调度及应急水量调度方案，按程序报批并组织实施。承担防御极端天气期间重要水工程调度工作。承担防御洪水应急抢险的技术支撑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14.完成上级交办的其他任务。</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职能转变。市水利和湖泊局要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（二）机构设置</w:t>
      </w:r>
    </w:p>
    <w:p>
      <w:pPr>
        <w:pStyle w:val="6"/>
        <w:bidi w:val="0"/>
        <w:ind w:left="0" w:leftChars="0"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从预算单位构成看，市水利和湖泊局设9个内设机构,分别为办公室、规划计划和政策法规科（行政审批办公室）、河湖长制工作科（水资源科）、建设管理和安全监督科、河道堤防和湖泊科、水库农电和移民科、农村水利水土保持科、水旱灾害防御科、人事科（离退休干部科）。</w:t>
      </w:r>
      <w:r>
        <w:rPr>
          <w:rFonts w:hint="eastAsia" w:ascii="仿宋_GB2312" w:hAnsi="Calibri" w:eastAsia="仿宋_GB2312" w:cs="Times New Roman"/>
          <w:color w:val="auto"/>
          <w:kern w:val="2"/>
          <w:sz w:val="32"/>
          <w:szCs w:val="32"/>
          <w:lang w:val="en-US" w:eastAsia="zh-CN" w:bidi="ar-SA"/>
        </w:rPr>
        <w:t>市水利和湖泊局行政编制32人，市农村饮水安全办公室全额拨款事业编制5人，市防汛抗旱服务中心全额拨款事业编制20人，截止2021年12月，实有人数49人，其中：在职在编49人，</w:t>
      </w:r>
      <w:r>
        <w:rPr>
          <w:rFonts w:hint="eastAsia" w:ascii="仿宋_GB2312" w:hAnsi="Calibri" w:eastAsia="仿宋_GB2312" w:cs="Times New Roman"/>
          <w:color w:val="000000"/>
          <w:kern w:val="2"/>
          <w:sz w:val="32"/>
          <w:szCs w:val="32"/>
          <w:lang w:val="en-US" w:eastAsia="zh-CN" w:bidi="ar-SA"/>
        </w:rPr>
        <w:t>以钱养事1人</w:t>
      </w:r>
      <w:r>
        <w:rPr>
          <w:rFonts w:hint="eastAsia" w:ascii="仿宋_GB2312" w:hAnsi="Calibri" w:eastAsia="仿宋_GB2312" w:cs="Times New Roman"/>
          <w:color w:val="auto"/>
          <w:kern w:val="2"/>
          <w:sz w:val="32"/>
          <w:szCs w:val="32"/>
          <w:lang w:val="en-US" w:eastAsia="zh-CN" w:bidi="ar-SA"/>
        </w:rPr>
        <w:t>，另有离休1人，退休人员49人，另外负担遗属人员3人。</w:t>
      </w:r>
      <w:r>
        <w:rPr>
          <w:rFonts w:hint="eastAsia" w:ascii="仿宋_GB2312" w:hAnsi="仿宋_GB2312" w:eastAsia="仿宋_GB2312" w:cs="仿宋_GB2312"/>
          <w:color w:val="auto"/>
          <w:kern w:val="0"/>
          <w:sz w:val="32"/>
          <w:szCs w:val="32"/>
          <w:lang w:val="en-US" w:eastAsia="zh-CN"/>
        </w:rPr>
        <w:t>本单位是市直一级预算单位，下属单位有两个财政预算单位，分别是咸宁市河道堤防管理局和咸宁市水政监察支队，两个下属单位单独公开。</w:t>
      </w:r>
    </w:p>
    <w:p>
      <w:pPr>
        <w:pStyle w:val="15"/>
        <w:keepNext w:val="0"/>
        <w:keepLines w:val="0"/>
        <w:pageBreakBefore w:val="0"/>
        <w:kinsoku/>
        <w:wordWrap/>
        <w:overflowPunct/>
        <w:topLinePunct w:val="0"/>
        <w:autoSpaceDE/>
        <w:autoSpaceDN/>
        <w:bidi w:val="0"/>
        <w:adjustRightInd/>
        <w:snapToGrid/>
        <w:spacing w:line="640" w:lineRule="exact"/>
        <w:jc w:val="lef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（三）年度主要工作任务及目标</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一、以做实水利“三年补短板”为工作抓手，扎实做好水旱灾害防御。以维护好人民群众安全为出发点，以新三年水利补短板项目建设为契机，进一步</w:t>
      </w:r>
      <w:r>
        <w:rPr>
          <w:rFonts w:hint="default" w:ascii="仿宋_GB2312" w:hAnsi="仿宋_GB2312" w:eastAsia="仿宋_GB2312" w:cs="仿宋_GB2312"/>
          <w:color w:val="auto"/>
          <w:kern w:val="0"/>
          <w:sz w:val="32"/>
          <w:szCs w:val="32"/>
          <w:lang w:val="en-US" w:eastAsia="zh-CN" w:bidi="ar-SA"/>
        </w:rPr>
        <w:t>加快补齐水利工程短板，完善水利基础设施网络体系，增强</w:t>
      </w:r>
      <w:r>
        <w:rPr>
          <w:rFonts w:hint="eastAsia" w:ascii="仿宋_GB2312" w:hAnsi="仿宋_GB2312" w:eastAsia="仿宋_GB2312" w:cs="仿宋_GB2312"/>
          <w:color w:val="auto"/>
          <w:kern w:val="0"/>
          <w:sz w:val="32"/>
          <w:szCs w:val="32"/>
          <w:lang w:val="en-US" w:eastAsia="zh-CN" w:bidi="ar-SA"/>
        </w:rPr>
        <w:t>水旱灾害防御能力。严格按照省水利厅的《水利补短板强功能三年建设任务责任分解方案》要求的时间节点，重点做好咸安区四门楼水库、通城县云溪水库等水库除险加固，以及三峡后续工作咸宁嘉鱼段河道治理工程、嘉鱼簰洲湾堤除险加固工程。同时加大投资计划执行监督和项目管理力度，紧盯新一轮补短板项目的投资建设情况，加大对各县市区2021年中央水利发展资金水利工程维修养护项目的监督管理，确保项目顺利实施。</w:t>
      </w:r>
    </w:p>
    <w:p>
      <w:pPr>
        <w:keepNext w:val="0"/>
        <w:keepLines w:val="0"/>
        <w:pageBreakBefore w:val="0"/>
        <w:widowControl w:val="0"/>
        <w:kinsoku/>
        <w:wordWrap/>
        <w:overflowPunct/>
        <w:topLinePunct w:val="0"/>
        <w:autoSpaceDE/>
        <w:autoSpaceDN w:val="0"/>
        <w:bidi w:val="0"/>
        <w:adjustRightInd/>
        <w:spacing w:line="560" w:lineRule="exact"/>
        <w:ind w:firstLine="645"/>
        <w:jc w:val="both"/>
        <w:textAlignment w:val="auto"/>
        <w:outlineLvl w:val="9"/>
        <w:rPr>
          <w:rFonts w:hint="default" w:ascii="仿宋_GB2312" w:hAnsi="仿宋_GB2312" w:eastAsia="仿宋_GB2312" w:cs="仿宋_GB2312"/>
          <w:color w:val="auto"/>
          <w:kern w:val="0"/>
          <w:sz w:val="32"/>
          <w:szCs w:val="32"/>
          <w:lang w:val="en-US" w:eastAsia="zh-CN" w:bidi="ar-SA"/>
        </w:rPr>
      </w:pPr>
      <w:bookmarkStart w:id="0" w:name="_Toc20573361"/>
      <w:r>
        <w:rPr>
          <w:rFonts w:hint="eastAsia" w:ascii="仿宋_GB2312" w:hAnsi="仿宋_GB2312" w:eastAsia="仿宋_GB2312" w:cs="仿宋_GB2312"/>
          <w:color w:val="auto"/>
          <w:kern w:val="0"/>
          <w:sz w:val="32"/>
          <w:szCs w:val="32"/>
          <w:lang w:val="en-US" w:eastAsia="zh-CN" w:bidi="ar-SA"/>
        </w:rPr>
        <w:t>二、以建设造福人民的幸福河湖为目标，强化河湖长制。深入落实“重在保护，要在治理”的战略要求，把保护修复长江生态环境摆在压倒性位置，呵护山水林田湖草生命共同体。进一步压实河湖库长及联系部门和责任单位责任，加强河湖长制考核和责任追究；持续做好“清四乱”，恢复河湖水系连通功能，腾退河湖岸线生态空间，改善河湖面貌；强化水资源刚性约束，大力开展国家节水行动，实现合理分水、管住用水、系统治水；严厉打击非法采砂，加强部门、地域之间的协作配合，巩固长江大保护治沙成果；加强水土保持，治理水土流失，</w:t>
      </w:r>
      <w:bookmarkEnd w:id="0"/>
      <w:r>
        <w:rPr>
          <w:rFonts w:hint="eastAsia" w:ascii="仿宋_GB2312" w:hAnsi="仿宋_GB2312" w:eastAsia="仿宋_GB2312" w:cs="仿宋_GB2312"/>
          <w:color w:val="auto"/>
          <w:kern w:val="0"/>
          <w:sz w:val="32"/>
          <w:szCs w:val="32"/>
          <w:lang w:val="en-US" w:eastAsia="zh-CN" w:bidi="ar-SA"/>
        </w:rPr>
        <w:t>推动河湖长制由全面建立转向全面见效，不断增强人民群众的获得感、幸福感、安全感。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大力实施国家节水行动，提升供水安全保障。强化水资源节约集约利用，推进农业节水灌溉，深入开展工业节水，加强生活和服务业节水，鼓励非常规水源利用。加强重点水源工程建设，充分挖掘现有工程供水潜力，科学论证中小型水库清淤扩容和联合调度的可行性，优化区域水资源配置。推动城乡饮水工程提标升级，按照“建大、并中、减小”的思路，加快推进城乡一体化、规模化的农村集中供水工程建设，完善城乡供水保障体系，促进城乡区域协调发展。加快灌区现代化建设与改造，重点推进三湖连江、陆水等2个大型灌区，以及云阁龙、青山、台山、香石等8个重点中型灌区的续建配套与现代化改造，改善灌溉条件，保障农产品主产区粮食生产能力。</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全面贯彻治水总基调，加强涉水事务监管。一是强化重点领域监管。加强河湖水域岸线监管，建成河湖保护体系；加强水资源的监管，落实水资源刚性约束作用；加强水土保持的监管，筑牢生态环境屏障；加强水利工程的监管，治水兴水惠及民生；完善水利投资监管体系，确保资金安全高效利用。二是深化重点领域改革。推进依法治水进程，完善新时代“法治水利”体系；深化水利“放管服”改革，营造优质高效服务环境；推行水利公共服务市场化，实现资源的优化配置；强化水行政执法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作，巩固强监管法治保障；深化后续帮扶工作，建设移民美丽家园。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ascii="黑体" w:hAnsi="黑体" w:eastAsia="黑体" w:cs="黑体"/>
          <w:color w:val="auto"/>
          <w:sz w:val="32"/>
          <w:szCs w:val="32"/>
        </w:rPr>
      </w:pPr>
      <w:r>
        <w:rPr>
          <w:rFonts w:hint="eastAsia" w:ascii="黑体" w:hAnsi="黑体" w:eastAsia="黑体" w:cs="黑体"/>
          <w:color w:val="auto"/>
          <w:sz w:val="32"/>
          <w:szCs w:val="32"/>
        </w:rPr>
        <w:t xml:space="preserve">第二部分 </w:t>
      </w:r>
      <w:r>
        <w:rPr>
          <w:rFonts w:hint="eastAsia" w:ascii="黑体" w:hAnsi="黑体" w:eastAsia="黑体" w:cs="黑体"/>
          <w:color w:val="auto"/>
          <w:sz w:val="32"/>
          <w:szCs w:val="32"/>
          <w:lang w:eastAsia="zh-CN"/>
        </w:rPr>
        <w:t>2021</w:t>
      </w:r>
      <w:r>
        <w:rPr>
          <w:rFonts w:hint="eastAsia" w:ascii="黑体" w:hAnsi="黑体" w:eastAsia="黑体" w:cs="黑体"/>
          <w:color w:val="auto"/>
          <w:sz w:val="32"/>
          <w:szCs w:val="32"/>
        </w:rPr>
        <w:t>年度部门决算表</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tbl>
      <w:tblPr>
        <w:tblStyle w:val="12"/>
        <w:tblW w:w="12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5"/>
        <w:gridCol w:w="716"/>
        <w:gridCol w:w="1196"/>
        <w:gridCol w:w="3835"/>
        <w:gridCol w:w="71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30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3,136.89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4,381.95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5,082.19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2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5"/>
        <w:gridCol w:w="716"/>
        <w:gridCol w:w="1196"/>
        <w:gridCol w:w="3835"/>
        <w:gridCol w:w="71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30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3,509.40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3,840.53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369.69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tbl>
      <w:tblPr>
        <w:tblStyle w:val="12"/>
        <w:tblW w:w="12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436"/>
        <w:gridCol w:w="436"/>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93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3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0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0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9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3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4,381.95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4,375.73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2,737.19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2,733.32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2,728.35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2,724.48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853.64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长江黄河等流域管理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492.95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2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436"/>
        <w:gridCol w:w="436"/>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4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6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6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5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7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1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3,509.40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3,504.15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2,048.42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2,039.58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824.29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820.41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tbl>
      <w:tblPr>
        <w:tblStyle w:val="12"/>
        <w:tblW w:w="12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1103"/>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1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4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10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5,009.34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1,901.79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3,107.55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3,355.75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1,868.71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1,081.93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长江黄河等流域管理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52.83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注：本表反映部门本年度各项支出情况。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1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1103"/>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53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4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8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8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3,840.53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1,122.52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2,718.01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1,488.01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2,374.58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1,479.17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1,048.71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注：本表反映部门本年度各项支出情况。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tbl>
      <w:tblPr>
        <w:tblStyle w:val="12"/>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1"/>
        <w:gridCol w:w="552"/>
        <w:gridCol w:w="1198"/>
        <w:gridCol w:w="3846"/>
        <w:gridCol w:w="552"/>
        <w:gridCol w:w="1152"/>
        <w:gridCol w:w="1327"/>
        <w:gridCol w:w="125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3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36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1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12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36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3,136.89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4,375.73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5,003.12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3,764.28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700.24</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5,075.97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5,075.97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2"/>
        <w:gridCol w:w="556"/>
        <w:gridCol w:w="1203"/>
        <w:gridCol w:w="3864"/>
        <w:gridCol w:w="556"/>
        <w:gridCol w:w="1157"/>
        <w:gridCol w:w="1276"/>
        <w:gridCol w:w="135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1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3,504.15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3,835.28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2,596.44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369.69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369.69</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3,873.84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tbl>
      <w:tblPr>
        <w:tblStyle w:val="1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1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5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3,764.28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1,895.57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长江黄河等流域管理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1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5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2,596.44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1,117.27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1,044.84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（六）一般公共预算财政拨款基本支出决算表</w:t>
      </w:r>
    </w:p>
    <w:tbl>
      <w:tblPr>
        <w:tblStyle w:val="1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2918"/>
        <w:gridCol w:w="1145"/>
        <w:gridCol w:w="1050"/>
        <w:gridCol w:w="1964"/>
        <w:gridCol w:w="1227"/>
        <w:gridCol w:w="1077"/>
        <w:gridCol w:w="232"/>
        <w:gridCol w:w="2509"/>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4"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91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4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6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72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892" w:type="dxa"/>
            <w:gridSpan w:val="2"/>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114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6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09" w:type="dxa"/>
            <w:gridSpan w:val="2"/>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49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9044"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91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0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19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0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741"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91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9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741"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1,596.19</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173.14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298.69</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14.82</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251.13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447.96</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79.00</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0.21</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113.36</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6.26</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31.21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69.49</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0.94</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139.01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16.51</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146.87</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100.40</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6.43</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13.80</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39906</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赠与</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20.32</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0.20</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c>
          <w:tcPr>
            <w:tcW w:w="10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741"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8.68</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741"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91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34.71</w:t>
            </w:r>
          </w:p>
        </w:tc>
        <w:tc>
          <w:tcPr>
            <w:tcW w:w="10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741"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1,696.59</w:t>
            </w:r>
          </w:p>
        </w:tc>
        <w:tc>
          <w:tcPr>
            <w:tcW w:w="8059" w:type="dxa"/>
            <w:gridSpan w:val="6"/>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91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4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6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741" w:type="dxa"/>
            <w:gridSpan w:val="2"/>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98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6"/>
        <w:gridCol w:w="2431"/>
        <w:gridCol w:w="1161"/>
        <w:gridCol w:w="1089"/>
        <w:gridCol w:w="1870"/>
        <w:gridCol w:w="1226"/>
        <w:gridCol w:w="1227"/>
        <w:gridCol w:w="2877"/>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6"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43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6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89"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7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97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98"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1089"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7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97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9383"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4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0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18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2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2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8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0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4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8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2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927.33</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126.96</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233.05</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6.55</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165.64</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0.87</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249.98</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44.88</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0.16</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67.37</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23.61</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43.26</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13.02</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0.94</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83.99</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14.71</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37.14</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8.51</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5.99</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12.10</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5.84</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39906</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赠与</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14.49</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32.37</w:t>
            </w:r>
          </w:p>
        </w:tc>
        <w:tc>
          <w:tcPr>
            <w:tcW w:w="122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8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7.02</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8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43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24.15</w:t>
            </w:r>
          </w:p>
        </w:tc>
        <w:tc>
          <w:tcPr>
            <w:tcW w:w="122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8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37"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964.48</w:t>
            </w:r>
          </w:p>
        </w:tc>
        <w:tc>
          <w:tcPr>
            <w:tcW w:w="8289"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0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43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6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89"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7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87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9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（七）财政拨款“三公”经费支出决算表</w:t>
      </w:r>
    </w:p>
    <w:tbl>
      <w:tblPr>
        <w:tblStyle w:val="12"/>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310"/>
        <w:gridCol w:w="684"/>
        <w:gridCol w:w="693"/>
        <w:gridCol w:w="718"/>
        <w:gridCol w:w="1048"/>
        <w:gridCol w:w="1179"/>
        <w:gridCol w:w="876"/>
        <w:gridCol w:w="1179"/>
        <w:gridCol w:w="670"/>
        <w:gridCol w:w="1179"/>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6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06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709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8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24.09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709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8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tbl>
      <w:tblPr>
        <w:tblStyle w:val="12"/>
        <w:tblW w:w="12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436"/>
        <w:gridCol w:w="1103"/>
        <w:gridCol w:w="1103"/>
        <w:gridCol w:w="436"/>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64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352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352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tbl>
      <w:tblPr>
        <w:tblStyle w:val="12"/>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3"/>
        <w:gridCol w:w="222"/>
        <w:gridCol w:w="222"/>
        <w:gridCol w:w="1096"/>
        <w:gridCol w:w="1644"/>
        <w:gridCol w:w="141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r>
              <w:rPr>
                <w:rFonts w:hint="default" w:ascii="Arial" w:hAnsi="Arial" w:cs="Arial"/>
                <w:i w:val="0"/>
                <w:iCs w:val="0"/>
                <w:color w:val="auto"/>
                <w:sz w:val="20"/>
                <w:szCs w:val="20"/>
                <w:u w:val="none"/>
              </w:rPr>
              <w:t>我部门（单位)无此项内容，本表无数据</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auto"/>
                <w:sz w:val="20"/>
                <w:szCs w:val="20"/>
                <w:u w:val="none"/>
                <w:lang w:eastAsia="zh-CN"/>
              </w:rPr>
            </w:pPr>
            <w:r>
              <w:rPr>
                <w:rFonts w:hint="default" w:ascii="Arial" w:hAnsi="Arial" w:cs="Arial"/>
                <w:i w:val="0"/>
                <w:iCs w:val="0"/>
                <w:color w:val="auto"/>
                <w:sz w:val="20"/>
                <w:szCs w:val="20"/>
                <w:u w:val="none"/>
              </w:rPr>
              <w:t>我部门（单位)无此项内容，本表无数据</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r>
              <w:rPr>
                <w:rFonts w:hint="default" w:ascii="Arial" w:hAnsi="Arial" w:cs="Arial"/>
                <w:i w:val="0"/>
                <w:iCs w:val="0"/>
                <w:color w:val="auto"/>
                <w:sz w:val="20"/>
                <w:szCs w:val="20"/>
                <w:u w:val="none"/>
              </w:rPr>
              <w:t>我部门（单位)无此项内容，本表无数据</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r>
              <w:rPr>
                <w:rFonts w:hint="default" w:ascii="Arial" w:hAnsi="Arial" w:cs="Arial"/>
                <w:i w:val="0"/>
                <w:iCs w:val="0"/>
                <w:color w:val="auto"/>
                <w:sz w:val="20"/>
                <w:szCs w:val="20"/>
                <w:u w:val="none"/>
              </w:rPr>
              <w:t>我部门（单位)无此项内容，本表无数据</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eastAsia" w:ascii="黑体" w:hAnsi="黑体" w:eastAsia="黑体" w:cs="黑体"/>
          <w:color w:val="auto"/>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ascii="黑体" w:hAnsi="黑体" w:eastAsia="黑体" w:cs="黑体"/>
          <w:color w:val="auto"/>
          <w:sz w:val="32"/>
          <w:szCs w:val="32"/>
        </w:rPr>
      </w:pPr>
      <w:r>
        <w:rPr>
          <w:rFonts w:hint="eastAsia" w:ascii="黑体" w:hAnsi="黑体" w:eastAsia="黑体" w:cs="黑体"/>
          <w:color w:val="auto"/>
          <w:sz w:val="32"/>
          <w:szCs w:val="32"/>
        </w:rPr>
        <w:t xml:space="preserve">第三部分 </w:t>
      </w:r>
      <w:r>
        <w:rPr>
          <w:rFonts w:hint="eastAsia" w:ascii="黑体" w:hAnsi="黑体" w:eastAsia="黑体" w:cs="黑体"/>
          <w:color w:val="auto"/>
          <w:sz w:val="32"/>
          <w:szCs w:val="32"/>
          <w:lang w:eastAsia="zh-CN"/>
        </w:rPr>
        <w:t>2021</w:t>
      </w:r>
      <w:r>
        <w:rPr>
          <w:rFonts w:hint="eastAsia" w:ascii="黑体" w:hAnsi="黑体" w:eastAsia="黑体" w:cs="黑体"/>
          <w:color w:val="auto"/>
          <w:sz w:val="32"/>
          <w:szCs w:val="32"/>
        </w:rPr>
        <w:t>年度部门决算安排情况说明</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（一）部门决算收支情况总体说明</w:t>
      </w:r>
    </w:p>
    <w:p>
      <w:pPr>
        <w:pStyle w:val="15"/>
        <w:keepNext w:val="0"/>
        <w:keepLines w:val="0"/>
        <w:pageBreakBefore w:val="0"/>
        <w:kinsoku/>
        <w:wordWrap/>
        <w:overflowPunct/>
        <w:topLinePunct w:val="0"/>
        <w:autoSpaceDE/>
        <w:autoSpaceDN/>
        <w:bidi w:val="0"/>
        <w:adjustRightInd/>
        <w:snapToGrid/>
        <w:spacing w:line="64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2021年度，</w:t>
      </w:r>
      <w:r>
        <w:rPr>
          <w:rFonts w:hint="eastAsia" w:ascii="仿宋_GB2312" w:hAnsi="仿宋_GB2312" w:eastAsia="仿宋_GB2312" w:cs="仿宋_GB2312"/>
          <w:color w:val="auto"/>
          <w:kern w:val="0"/>
          <w:sz w:val="32"/>
          <w:szCs w:val="32"/>
        </w:rPr>
        <w:t>部门决算收入</w:t>
      </w:r>
      <w:r>
        <w:rPr>
          <w:rFonts w:hint="eastAsia" w:ascii="仿宋_GB2312" w:hAnsi="仿宋_GB2312" w:eastAsia="仿宋_GB2312" w:cs="仿宋_GB2312"/>
          <w:color w:val="auto"/>
          <w:kern w:val="0"/>
          <w:sz w:val="32"/>
          <w:szCs w:val="32"/>
          <w:lang w:val="en-US" w:eastAsia="zh-CN"/>
        </w:rPr>
        <w:t>5082.19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3879.09</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1203.1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。其中，财政拨款收入</w:t>
      </w:r>
      <w:r>
        <w:rPr>
          <w:rFonts w:hint="eastAsia" w:ascii="仿宋_GB2312" w:hAnsi="仿宋_GB2312" w:eastAsia="仿宋_GB2312" w:cs="仿宋_GB2312"/>
          <w:color w:val="auto"/>
          <w:kern w:val="0"/>
          <w:sz w:val="32"/>
          <w:szCs w:val="32"/>
          <w:lang w:val="en-US" w:eastAsia="zh-CN"/>
        </w:rPr>
        <w:t>3136.89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2265.31</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871.58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61.72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政府性基金收入</w:t>
      </w:r>
      <w:r>
        <w:rPr>
          <w:rFonts w:hint="eastAsia" w:ascii="仿宋_GB2312" w:hAnsi="仿宋_GB2312" w:eastAsia="仿宋_GB2312" w:cs="仿宋_GB2312"/>
          <w:color w:val="auto"/>
          <w:kern w:val="0"/>
          <w:sz w:val="32"/>
          <w:szCs w:val="32"/>
          <w:lang w:val="en-US" w:eastAsia="zh-CN"/>
        </w:rPr>
        <w:t>1238.84万元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1238.84</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24.38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其他收入</w:t>
      </w:r>
      <w:r>
        <w:rPr>
          <w:rFonts w:hint="eastAsia" w:ascii="仿宋_GB2312" w:hAnsi="仿宋_GB2312" w:eastAsia="仿宋_GB2312" w:cs="仿宋_GB2312"/>
          <w:color w:val="auto"/>
          <w:kern w:val="0"/>
          <w:sz w:val="32"/>
          <w:szCs w:val="32"/>
          <w:lang w:val="en-US" w:eastAsia="zh-CN"/>
        </w:rPr>
        <w:t>6.22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5.25</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0.97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0.12%</w:t>
      </w:r>
      <w:r>
        <w:rPr>
          <w:rFonts w:hint="eastAsia" w:ascii="仿宋_GB2312" w:hAnsi="仿宋_GB2312" w:eastAsia="仿宋_GB2312" w:cs="仿宋_GB2312"/>
          <w:color w:val="auto"/>
          <w:kern w:val="0"/>
          <w:sz w:val="32"/>
          <w:szCs w:val="32"/>
        </w:rPr>
        <w:t>；上年结余（转）</w:t>
      </w:r>
      <w:r>
        <w:rPr>
          <w:rFonts w:hint="eastAsia" w:ascii="仿宋_GB2312" w:hAnsi="仿宋_GB2312" w:eastAsia="仿宋_GB2312" w:cs="仿宋_GB2312"/>
          <w:color w:val="auto"/>
          <w:kern w:val="0"/>
          <w:sz w:val="32"/>
          <w:szCs w:val="32"/>
          <w:lang w:val="en-US" w:eastAsia="zh-CN"/>
        </w:rPr>
        <w:t>700.24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369.69</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330.55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13.78%。</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部门决算支出</w:t>
      </w:r>
      <w:r>
        <w:rPr>
          <w:rFonts w:hint="eastAsia" w:ascii="仿宋_GB2312" w:hAnsi="仿宋_GB2312" w:eastAsia="仿宋_GB2312" w:cs="仿宋_GB2312"/>
          <w:color w:val="auto"/>
          <w:kern w:val="0"/>
          <w:sz w:val="32"/>
          <w:szCs w:val="32"/>
          <w:lang w:val="en-US" w:eastAsia="zh-CN"/>
        </w:rPr>
        <w:t>5009.34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3840.53</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1168.81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。其中，基本支出</w:t>
      </w:r>
      <w:r>
        <w:rPr>
          <w:rFonts w:hint="eastAsia" w:ascii="仿宋_GB2312" w:hAnsi="仿宋_GB2312" w:eastAsia="仿宋_GB2312" w:cs="仿宋_GB2312"/>
          <w:color w:val="auto"/>
          <w:kern w:val="0"/>
          <w:sz w:val="32"/>
          <w:szCs w:val="32"/>
          <w:lang w:val="en-US" w:eastAsia="zh-CN"/>
        </w:rPr>
        <w:t>1901.79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1122.52</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779.27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37.96</w:t>
      </w:r>
      <w:r>
        <w:rPr>
          <w:rFonts w:hint="eastAsia" w:ascii="仿宋_GB2312" w:hAnsi="仿宋_GB2312" w:eastAsia="仿宋_GB2312" w:cs="仿宋_GB2312"/>
          <w:color w:val="auto"/>
          <w:kern w:val="0"/>
          <w:sz w:val="32"/>
          <w:szCs w:val="32"/>
        </w:rPr>
        <w:t>%；项目支出</w:t>
      </w:r>
      <w:r>
        <w:rPr>
          <w:rFonts w:hint="eastAsia" w:ascii="仿宋_GB2312" w:hAnsi="仿宋_GB2312" w:eastAsia="仿宋_GB2312" w:cs="仿宋_GB2312"/>
          <w:color w:val="auto"/>
          <w:kern w:val="0"/>
          <w:sz w:val="32"/>
          <w:szCs w:val="32"/>
          <w:lang w:val="en-US" w:eastAsia="zh-CN"/>
        </w:rPr>
        <w:t>3107.55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2718.01</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389.54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62.04</w:t>
      </w:r>
      <w:r>
        <w:rPr>
          <w:rFonts w:hint="eastAsia" w:ascii="仿宋_GB2312" w:hAnsi="仿宋_GB2312" w:eastAsia="仿宋_GB2312" w:cs="仿宋_GB2312"/>
          <w:color w:val="auto"/>
          <w:kern w:val="0"/>
          <w:sz w:val="32"/>
          <w:szCs w:val="32"/>
        </w:rPr>
        <w:t>%。按支出功能分类：一般公共服务支出</w:t>
      </w:r>
      <w:r>
        <w:rPr>
          <w:rFonts w:hint="eastAsia" w:ascii="仿宋_GB2312" w:hAnsi="仿宋_GB2312" w:eastAsia="仿宋_GB2312" w:cs="仿宋_GB2312"/>
          <w:color w:val="auto"/>
          <w:kern w:val="0"/>
          <w:sz w:val="32"/>
          <w:szCs w:val="32"/>
          <w:lang w:val="en-US" w:eastAsia="zh-CN"/>
        </w:rPr>
        <w:t>1.37万元，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0.03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；社会保障和就业支出</w:t>
      </w:r>
      <w:r>
        <w:rPr>
          <w:rFonts w:hint="eastAsia" w:ascii="仿宋_GB2312" w:hAnsi="仿宋_GB2312" w:eastAsia="仿宋_GB2312" w:cs="仿宋_GB2312"/>
          <w:color w:val="auto"/>
          <w:kern w:val="0"/>
          <w:sz w:val="32"/>
          <w:szCs w:val="32"/>
          <w:lang w:val="en-US" w:eastAsia="zh-CN"/>
        </w:rPr>
        <w:t>188.04</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3.75</w:t>
      </w:r>
      <w:r>
        <w:rPr>
          <w:rFonts w:hint="eastAsia" w:ascii="仿宋_GB2312" w:hAnsi="仿宋_GB2312" w:eastAsia="仿宋_GB2312" w:cs="仿宋_GB2312"/>
          <w:color w:val="auto"/>
          <w:kern w:val="0"/>
          <w:sz w:val="32"/>
          <w:szCs w:val="32"/>
        </w:rPr>
        <w:t>%；卫生健康支出</w:t>
      </w:r>
      <w:r>
        <w:rPr>
          <w:rFonts w:hint="eastAsia" w:ascii="仿宋_GB2312" w:hAnsi="仿宋_GB2312" w:eastAsia="仿宋_GB2312" w:cs="仿宋_GB2312"/>
          <w:color w:val="auto"/>
          <w:kern w:val="0"/>
          <w:sz w:val="32"/>
          <w:szCs w:val="32"/>
          <w:lang w:val="en-US" w:eastAsia="zh-CN"/>
        </w:rPr>
        <w:t>71.59万元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1.43</w:t>
      </w:r>
      <w:r>
        <w:rPr>
          <w:rFonts w:hint="eastAsia" w:ascii="仿宋_GB2312" w:hAnsi="仿宋_GB2312" w:eastAsia="仿宋_GB2312" w:cs="仿宋_GB2312"/>
          <w:color w:val="auto"/>
          <w:kern w:val="0"/>
          <w:sz w:val="32"/>
          <w:szCs w:val="32"/>
        </w:rPr>
        <w:t>%；农林水支出</w:t>
      </w:r>
      <w:r>
        <w:rPr>
          <w:rFonts w:hint="eastAsia" w:ascii="仿宋_GB2312" w:hAnsi="仿宋_GB2312" w:eastAsia="仿宋_GB2312" w:cs="仿宋_GB2312"/>
          <w:color w:val="auto"/>
          <w:kern w:val="0"/>
          <w:sz w:val="32"/>
          <w:szCs w:val="32"/>
          <w:lang w:val="en-US" w:eastAsia="zh-CN"/>
        </w:rPr>
        <w:t>3364.59</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67.17</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153.75</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3.07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；城乡社区支出</w:t>
      </w:r>
      <w:r>
        <w:rPr>
          <w:rFonts w:hint="eastAsia" w:ascii="仿宋_GB2312" w:hAnsi="仿宋_GB2312" w:eastAsia="仿宋_GB2312" w:cs="仿宋_GB2312"/>
          <w:color w:val="auto"/>
          <w:kern w:val="0"/>
          <w:sz w:val="32"/>
          <w:szCs w:val="32"/>
          <w:lang w:val="en-US" w:eastAsia="zh-CN"/>
        </w:rPr>
        <w:t>1230万元，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24.55</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（二）部门决算收支增减变化情况说明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年度财政拨款收、支总决算</w:t>
      </w:r>
      <w:r>
        <w:rPr>
          <w:rFonts w:hint="eastAsia" w:ascii="仿宋_GB2312" w:hAnsi="仿宋_GB2312" w:eastAsia="仿宋_GB2312" w:cs="仿宋_GB2312"/>
          <w:color w:val="auto"/>
          <w:kern w:val="0"/>
          <w:sz w:val="32"/>
          <w:szCs w:val="32"/>
          <w:lang w:val="en-US" w:eastAsia="zh-CN"/>
        </w:rPr>
        <w:t>5075.97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3873.84</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1202.13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。与20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年相比，财政拨款收、支总计</w:t>
      </w:r>
      <w:r>
        <w:rPr>
          <w:rFonts w:hint="eastAsia" w:ascii="仿宋_GB2312" w:hAnsi="仿宋_GB2312" w:eastAsia="仿宋_GB2312" w:cs="仿宋_GB2312"/>
          <w:color w:val="auto"/>
          <w:kern w:val="0"/>
          <w:sz w:val="32"/>
          <w:szCs w:val="32"/>
          <w:lang w:val="en-US" w:eastAsia="zh-CN"/>
        </w:rPr>
        <w:t>7952.28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5908.56</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2043.72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2876.31</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2034.72</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841.59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局机关2021</w:t>
      </w:r>
      <w:r>
        <w:rPr>
          <w:rFonts w:hint="eastAsia" w:ascii="仿宋_GB2312" w:hAnsi="仿宋_GB2312" w:eastAsia="仿宋_GB2312" w:cs="仿宋_GB2312"/>
          <w:color w:val="auto"/>
          <w:kern w:val="0"/>
          <w:sz w:val="32"/>
          <w:szCs w:val="32"/>
        </w:rPr>
        <w:t>年度财政拨款</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总决算</w:t>
      </w:r>
      <w:r>
        <w:rPr>
          <w:rFonts w:hint="eastAsia" w:ascii="仿宋_GB2312" w:hAnsi="仿宋_GB2312" w:eastAsia="仿宋_GB2312" w:cs="仿宋_GB2312"/>
          <w:color w:val="auto"/>
          <w:kern w:val="0"/>
          <w:sz w:val="32"/>
          <w:szCs w:val="32"/>
          <w:lang w:eastAsia="zh-CN"/>
        </w:rPr>
        <w:t>较上年下降</w:t>
      </w:r>
      <w:r>
        <w:rPr>
          <w:rFonts w:hint="eastAsia" w:ascii="仿宋_GB2312" w:hAnsi="仿宋_GB2312" w:eastAsia="仿宋_GB2312" w:cs="仿宋_GB2312"/>
          <w:color w:val="auto"/>
          <w:kern w:val="0"/>
          <w:sz w:val="32"/>
          <w:szCs w:val="32"/>
          <w:lang w:val="en-US" w:eastAsia="zh-CN"/>
        </w:rPr>
        <w:t>34.43</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eastAsia="zh-CN"/>
        </w:rPr>
        <w:t>由于上级扩权赋能强县的政策，部分项目经费直达县市区，市级争取上级补助减少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由于支出减少，收入相对也</w:t>
      </w:r>
      <w:r>
        <w:rPr>
          <w:rFonts w:hint="eastAsia" w:ascii="仿宋_GB2312" w:hAnsi="仿宋_GB2312" w:eastAsia="仿宋_GB2312" w:cs="仿宋_GB2312"/>
          <w:color w:val="auto"/>
          <w:kern w:val="0"/>
          <w:sz w:val="32"/>
          <w:szCs w:val="32"/>
          <w:lang w:eastAsia="zh-CN"/>
        </w:rPr>
        <w:t>较上年下降</w:t>
      </w:r>
      <w:r>
        <w:rPr>
          <w:rFonts w:hint="eastAsia" w:ascii="仿宋_GB2312" w:hAnsi="仿宋_GB2312" w:eastAsia="仿宋_GB2312" w:cs="仿宋_GB2312"/>
          <w:color w:val="auto"/>
          <w:kern w:val="0"/>
          <w:sz w:val="32"/>
          <w:szCs w:val="32"/>
          <w:lang w:val="en-US" w:eastAsia="zh-CN"/>
        </w:rPr>
        <w:t>34.43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较本年预算收支</w:t>
      </w:r>
      <w:r>
        <w:rPr>
          <w:rFonts w:hint="eastAsia" w:ascii="仿宋_GB2312" w:hAnsi="仿宋_GB2312" w:eastAsia="仿宋_GB2312" w:cs="仿宋_GB2312"/>
          <w:color w:val="auto"/>
          <w:kern w:val="0"/>
          <w:sz w:val="32"/>
          <w:szCs w:val="32"/>
          <w:lang w:val="en-US" w:eastAsia="zh-CN"/>
        </w:rPr>
        <w:t>9123.68 万元（局机关8044.30万元，所属单位1079.38万元）</w:t>
      </w:r>
      <w:r>
        <w:rPr>
          <w:rFonts w:hint="eastAsia" w:ascii="仿宋_GB2312" w:hAnsi="仿宋_GB2312" w:eastAsia="仿宋_GB2312" w:cs="仿宋_GB2312"/>
          <w:color w:val="auto"/>
          <w:kern w:val="0"/>
          <w:sz w:val="32"/>
          <w:szCs w:val="32"/>
          <w:lang w:eastAsia="zh-CN"/>
        </w:rPr>
        <w:t>各减少</w:t>
      </w:r>
      <w:r>
        <w:rPr>
          <w:rFonts w:hint="eastAsia" w:ascii="仿宋_GB2312" w:hAnsi="仿宋_GB2312" w:eastAsia="仿宋_GB2312" w:cs="仿宋_GB2312"/>
          <w:color w:val="auto"/>
          <w:kern w:val="0"/>
          <w:sz w:val="32"/>
          <w:szCs w:val="32"/>
          <w:lang w:val="en-US" w:eastAsia="zh-CN"/>
        </w:rPr>
        <w:t>4047.71</w:t>
      </w:r>
      <w:r>
        <w:rPr>
          <w:rFonts w:hint="eastAsia" w:ascii="仿宋_GB2312" w:hAnsi="仿宋_GB2312" w:eastAsia="仿宋_GB2312" w:cs="仿宋_GB2312"/>
          <w:color w:val="auto"/>
          <w:kern w:val="0"/>
          <w:sz w:val="32"/>
          <w:szCs w:val="32"/>
          <w:lang w:eastAsia="zh-CN"/>
        </w:rPr>
        <w:t>万元（含局机关</w:t>
      </w:r>
      <w:r>
        <w:rPr>
          <w:rFonts w:hint="eastAsia" w:ascii="仿宋_GB2312" w:hAnsi="仿宋_GB2312" w:eastAsia="仿宋_GB2312" w:cs="仿宋_GB2312"/>
          <w:color w:val="auto"/>
          <w:kern w:val="0"/>
          <w:sz w:val="32"/>
          <w:szCs w:val="32"/>
          <w:lang w:val="en-US" w:eastAsia="zh-CN"/>
        </w:rPr>
        <w:t>4170.46</w:t>
      </w:r>
      <w:r>
        <w:rPr>
          <w:rFonts w:hint="eastAsia" w:ascii="仿宋_GB2312" w:hAnsi="仿宋_GB2312" w:eastAsia="仿宋_GB2312" w:cs="仿宋_GB2312"/>
          <w:color w:val="auto"/>
          <w:kern w:val="0"/>
          <w:sz w:val="32"/>
          <w:szCs w:val="32"/>
          <w:lang w:eastAsia="zh-CN"/>
        </w:rPr>
        <w:t>万元、所属单位增加</w:t>
      </w:r>
      <w:r>
        <w:rPr>
          <w:rFonts w:hint="eastAsia" w:ascii="仿宋_GB2312" w:hAnsi="仿宋_GB2312" w:eastAsia="仿宋_GB2312" w:cs="仿宋_GB2312"/>
          <w:color w:val="auto"/>
          <w:kern w:val="0"/>
          <w:sz w:val="32"/>
          <w:szCs w:val="32"/>
          <w:lang w:val="en-US" w:eastAsia="zh-CN"/>
        </w:rPr>
        <w:t>122.75</w:t>
      </w:r>
      <w:r>
        <w:rPr>
          <w:rFonts w:hint="eastAsia" w:ascii="仿宋_GB2312" w:hAnsi="仿宋_GB2312" w:eastAsia="仿宋_GB2312" w:cs="仿宋_GB2312"/>
          <w:color w:val="auto"/>
          <w:kern w:val="0"/>
          <w:sz w:val="32"/>
          <w:szCs w:val="32"/>
          <w:lang w:eastAsia="zh-CN"/>
        </w:rPr>
        <w:t>万元），局机关2021</w:t>
      </w:r>
      <w:r>
        <w:rPr>
          <w:rFonts w:hint="eastAsia" w:ascii="仿宋_GB2312" w:hAnsi="仿宋_GB2312" w:eastAsia="仿宋_GB2312" w:cs="仿宋_GB2312"/>
          <w:color w:val="auto"/>
          <w:kern w:val="0"/>
          <w:sz w:val="32"/>
          <w:szCs w:val="32"/>
        </w:rPr>
        <w:t>年度财政拨款</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总决算</w:t>
      </w:r>
      <w:r>
        <w:rPr>
          <w:rFonts w:hint="eastAsia" w:ascii="仿宋_GB2312" w:hAnsi="仿宋_GB2312" w:eastAsia="仿宋_GB2312" w:cs="仿宋_GB2312"/>
          <w:color w:val="auto"/>
          <w:kern w:val="0"/>
          <w:sz w:val="32"/>
          <w:szCs w:val="32"/>
          <w:lang w:eastAsia="zh-CN"/>
        </w:rPr>
        <w:t>较年初预算下降</w:t>
      </w:r>
      <w:r>
        <w:rPr>
          <w:rFonts w:hint="eastAsia" w:ascii="仿宋_GB2312" w:hAnsi="仿宋_GB2312" w:eastAsia="仿宋_GB2312" w:cs="仿宋_GB2312"/>
          <w:color w:val="auto"/>
          <w:kern w:val="0"/>
          <w:sz w:val="32"/>
          <w:szCs w:val="32"/>
          <w:lang w:val="en-US" w:eastAsia="zh-CN"/>
        </w:rPr>
        <w:t>51.84</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由于上级扩权赋能强县的政策，部分项目经费直达县市区，市级争取上级补助减少；</w:t>
      </w:r>
      <w:r>
        <w:rPr>
          <w:rFonts w:hint="eastAsia" w:ascii="仿宋_GB2312" w:hAnsi="仿宋_GB2312" w:eastAsia="仿宋_GB2312" w:cs="仿宋_GB2312"/>
          <w:color w:val="auto"/>
          <w:kern w:val="0"/>
          <w:sz w:val="32"/>
          <w:szCs w:val="32"/>
          <w:lang w:val="en-US" w:eastAsia="zh-CN"/>
        </w:rPr>
        <w:t>2.新增大洲湖生态建设示范区PPP项目最终下达数较预期减少74.66%；3.合理压缩一般行政性开支，严格控制经费支出。由于支出减少，收入相对较年初预算</w:t>
      </w:r>
      <w:r>
        <w:rPr>
          <w:rFonts w:hint="eastAsia" w:ascii="仿宋_GB2312" w:hAnsi="仿宋_GB2312" w:eastAsia="仿宋_GB2312" w:cs="仿宋_GB2312"/>
          <w:color w:val="auto"/>
          <w:kern w:val="0"/>
          <w:sz w:val="32"/>
          <w:szCs w:val="32"/>
          <w:lang w:eastAsia="zh-CN"/>
        </w:rPr>
        <w:t>下降</w:t>
      </w:r>
      <w:r>
        <w:rPr>
          <w:rFonts w:hint="eastAsia" w:ascii="仿宋_GB2312" w:hAnsi="仿宋_GB2312" w:eastAsia="仿宋_GB2312" w:cs="仿宋_GB2312"/>
          <w:color w:val="auto"/>
          <w:kern w:val="0"/>
          <w:sz w:val="32"/>
          <w:szCs w:val="32"/>
          <w:lang w:val="en-US" w:eastAsia="zh-CN"/>
        </w:rPr>
        <w:t>51.84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（三）机关运行执行情况说明</w:t>
      </w:r>
    </w:p>
    <w:p>
      <w:pPr>
        <w:pStyle w:val="15"/>
        <w:keepNext w:val="0"/>
        <w:keepLines w:val="0"/>
        <w:pageBreakBefore w:val="0"/>
        <w:kinsoku/>
        <w:wordWrap/>
        <w:overflowPunct/>
        <w:topLinePunct w:val="0"/>
        <w:autoSpaceDE/>
        <w:autoSpaceDN/>
        <w:bidi w:val="0"/>
        <w:adjustRightInd/>
        <w:snapToGrid/>
        <w:spacing w:line="64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本部门</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年度机关运行经费支出</w:t>
      </w:r>
      <w:r>
        <w:rPr>
          <w:rFonts w:hint="eastAsia" w:ascii="仿宋_GB2312" w:hAnsi="仿宋_GB2312" w:eastAsia="仿宋_GB2312" w:cs="仿宋_GB2312"/>
          <w:color w:val="auto"/>
          <w:kern w:val="0"/>
          <w:sz w:val="32"/>
          <w:szCs w:val="32"/>
          <w:lang w:val="en-US" w:eastAsia="zh-CN"/>
        </w:rPr>
        <w:t>173.14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157.54</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126.96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111.03</w:t>
      </w:r>
      <w:r>
        <w:rPr>
          <w:rFonts w:hint="eastAsia" w:ascii="仿宋_GB2312" w:hAnsi="仿宋_GB2312" w:eastAsia="仿宋_GB2312" w:cs="仿宋_GB2312"/>
          <w:color w:val="auto"/>
          <w:sz w:val="32"/>
          <w:szCs w:val="32"/>
        </w:rPr>
        <w:t>、所属单位</w:t>
      </w:r>
      <w:r>
        <w:rPr>
          <w:rFonts w:hint="eastAsia" w:ascii="仿宋_GB2312" w:hAnsi="仿宋_GB2312" w:eastAsia="仿宋_GB2312" w:cs="仿宋_GB2312"/>
          <w:color w:val="auto"/>
          <w:sz w:val="32"/>
          <w:szCs w:val="32"/>
          <w:lang w:val="en-US" w:eastAsia="zh-CN"/>
        </w:rPr>
        <w:t>62.11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46.51</w:t>
      </w:r>
      <w:r>
        <w:rPr>
          <w:rFonts w:hint="eastAsia" w:ascii="仿宋_GB2312" w:hAnsi="仿宋_GB2312" w:eastAsia="仿宋_GB2312" w:cs="仿宋_GB2312"/>
          <w:color w:val="auto"/>
          <w:kern w:val="0"/>
          <w:sz w:val="32"/>
          <w:szCs w:val="32"/>
        </w:rPr>
        <w:t>，其中：办公费</w:t>
      </w:r>
      <w:r>
        <w:rPr>
          <w:rFonts w:hint="eastAsia" w:ascii="仿宋_GB2312" w:hAnsi="仿宋_GB2312" w:eastAsia="仿宋_GB2312" w:cs="仿宋_GB2312"/>
          <w:color w:val="auto"/>
          <w:kern w:val="0"/>
          <w:sz w:val="32"/>
          <w:szCs w:val="32"/>
          <w:lang w:val="en-US" w:eastAsia="zh-CN"/>
        </w:rPr>
        <w:t>14.82</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6.55</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8.27</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、印刷费</w:t>
      </w:r>
      <w:r>
        <w:rPr>
          <w:rFonts w:hint="eastAsia" w:ascii="仿宋_GB2312" w:hAnsi="仿宋_GB2312" w:eastAsia="仿宋_GB2312" w:cs="仿宋_GB2312"/>
          <w:color w:val="auto"/>
          <w:kern w:val="0"/>
          <w:sz w:val="32"/>
          <w:szCs w:val="32"/>
          <w:lang w:val="en-US" w:eastAsia="zh-CN"/>
        </w:rPr>
        <w:t>1.03</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0.87</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0.16</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水费</w:t>
      </w:r>
      <w:r>
        <w:rPr>
          <w:rFonts w:hint="eastAsia" w:ascii="仿宋_GB2312" w:hAnsi="仿宋_GB2312" w:eastAsia="仿宋_GB2312" w:cs="仿宋_GB2312"/>
          <w:color w:val="auto"/>
          <w:kern w:val="0"/>
          <w:sz w:val="32"/>
          <w:szCs w:val="32"/>
          <w:lang w:val="en-US" w:eastAsia="zh-CN"/>
        </w:rPr>
        <w:t>0.21万元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0.16</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0.05</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、电费6.26万元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2.52</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3.74</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邮电费</w:t>
      </w:r>
      <w:r>
        <w:rPr>
          <w:rFonts w:hint="eastAsia" w:ascii="仿宋_GB2312" w:hAnsi="仿宋_GB2312" w:eastAsia="仿宋_GB2312" w:cs="仿宋_GB2312"/>
          <w:color w:val="auto"/>
          <w:kern w:val="0"/>
          <w:sz w:val="32"/>
          <w:szCs w:val="32"/>
          <w:lang w:val="en-US" w:eastAsia="zh-CN"/>
        </w:rPr>
        <w:t>4.24</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1.45</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2.79</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物业管理费</w:t>
      </w:r>
      <w:r>
        <w:rPr>
          <w:rFonts w:hint="eastAsia" w:ascii="仿宋_GB2312" w:hAnsi="仿宋_GB2312" w:eastAsia="仿宋_GB2312" w:cs="仿宋_GB2312"/>
          <w:color w:val="auto"/>
          <w:kern w:val="0"/>
          <w:sz w:val="32"/>
          <w:szCs w:val="32"/>
          <w:lang w:val="en-US" w:eastAsia="zh-CN"/>
        </w:rPr>
        <w:t>4.44万元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2.73</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1.71</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差旅费</w:t>
      </w:r>
      <w:r>
        <w:rPr>
          <w:rFonts w:hint="eastAsia" w:ascii="仿宋_GB2312" w:hAnsi="仿宋_GB2312" w:eastAsia="仿宋_GB2312" w:cs="仿宋_GB2312"/>
          <w:color w:val="auto"/>
          <w:kern w:val="0"/>
          <w:sz w:val="32"/>
          <w:szCs w:val="32"/>
          <w:lang w:val="en-US" w:eastAsia="zh-CN"/>
        </w:rPr>
        <w:t>4.74</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1.46</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3.28</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、维修（护）费</w:t>
      </w:r>
      <w:r>
        <w:rPr>
          <w:rFonts w:hint="eastAsia" w:ascii="仿宋_GB2312" w:hAnsi="仿宋_GB2312" w:eastAsia="仿宋_GB2312" w:cs="仿宋_GB2312"/>
          <w:color w:val="auto"/>
          <w:kern w:val="0"/>
          <w:sz w:val="32"/>
          <w:szCs w:val="32"/>
          <w:lang w:val="en-US" w:eastAsia="zh-CN"/>
        </w:rPr>
        <w:t>16.51万元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14.71</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1.8</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、公务接待费6.43万元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5.99</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0.44</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、劳务费13.8万元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12.1</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1.7</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、委托业务费5.84万元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5.84</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、工会经费20.32万元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14.49</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5.83</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、福利费0.2万元</w:t>
      </w:r>
      <w:r>
        <w:rPr>
          <w:rFonts w:hint="eastAsia" w:ascii="仿宋" w:hAnsi="仿宋" w:eastAsia="仿宋" w:cs="仿宋"/>
          <w:color w:val="auto"/>
          <w:kern w:val="0"/>
          <w:sz w:val="31"/>
          <w:szCs w:val="31"/>
          <w:lang w:val="en-US" w:eastAsia="zh-CN" w:bidi="ar"/>
        </w:rPr>
        <w:t>（其中：所属单位</w:t>
      </w:r>
      <w:r>
        <w:rPr>
          <w:rFonts w:hint="eastAsia" w:cs="仿宋"/>
          <w:color w:val="auto"/>
          <w:kern w:val="0"/>
          <w:sz w:val="31"/>
          <w:szCs w:val="31"/>
          <w:lang w:val="en-US" w:eastAsia="zh-CN" w:bidi="ar"/>
        </w:rPr>
        <w:t>0.2</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、公务车运行维护费1.58万元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1.58</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、其他交通费用38万元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32.37</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5.63</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、其他商品服务支出34.71万元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24.15</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10.56</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，资本性支出25.83万元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25.83</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机关运行经费支出比年初预算数</w:t>
      </w:r>
      <w:r>
        <w:rPr>
          <w:rFonts w:hint="eastAsia" w:ascii="仿宋_GB2312" w:hAnsi="仿宋_GB2312" w:eastAsia="仿宋_GB2312" w:cs="仿宋_GB2312"/>
          <w:color w:val="auto"/>
          <w:kern w:val="0"/>
          <w:sz w:val="32"/>
          <w:szCs w:val="32"/>
          <w:lang w:val="en-US" w:eastAsia="zh-CN"/>
        </w:rPr>
        <w:t>138.14万元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35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上涨</w:t>
      </w:r>
      <w:r>
        <w:rPr>
          <w:rFonts w:hint="eastAsia" w:ascii="仿宋_GB2312" w:hAnsi="仿宋_GB2312" w:eastAsia="仿宋_GB2312" w:cs="仿宋_GB2312"/>
          <w:color w:val="auto"/>
          <w:kern w:val="0"/>
          <w:sz w:val="32"/>
          <w:szCs w:val="32"/>
          <w:lang w:val="en-US" w:eastAsia="zh-CN"/>
        </w:rPr>
        <w:t>25.34</w:t>
      </w:r>
      <w:r>
        <w:rPr>
          <w:rFonts w:hint="eastAsia" w:ascii="仿宋_GB2312" w:hAnsi="仿宋_GB2312" w:eastAsia="仿宋_GB2312" w:cs="仿宋_GB2312"/>
          <w:color w:val="auto"/>
          <w:kern w:val="0"/>
          <w:sz w:val="32"/>
          <w:szCs w:val="32"/>
        </w:rPr>
        <w:t>%。主要原因是：</w:t>
      </w:r>
      <w:r>
        <w:rPr>
          <w:rFonts w:hint="eastAsia" w:ascii="仿宋_GB2312" w:hAnsi="仿宋_GB2312" w:eastAsia="仿宋_GB2312" w:cs="仿宋_GB2312"/>
          <w:color w:val="auto"/>
          <w:kern w:val="0"/>
          <w:sz w:val="32"/>
          <w:szCs w:val="32"/>
          <w:lang w:eastAsia="zh-CN"/>
        </w:rPr>
        <w:t>一是购置一批国产电脑，导致资本性支出增加；二是新增</w:t>
      </w:r>
      <w:r>
        <w:rPr>
          <w:rFonts w:hint="eastAsia" w:ascii="仿宋_GB2312" w:hAnsi="仿宋_GB2312" w:eastAsia="仿宋_GB2312" w:cs="仿宋_GB2312"/>
          <w:color w:val="auto"/>
          <w:kern w:val="0"/>
          <w:sz w:val="32"/>
          <w:szCs w:val="32"/>
          <w:lang w:val="en-US" w:eastAsia="zh-CN"/>
        </w:rPr>
        <w:t>11名事业编制人员，公用经费增加。</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（四）政府采购执行情况说明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本部门（单位）</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年度政府采购支出总额</w:t>
      </w:r>
      <w:r>
        <w:rPr>
          <w:rFonts w:hint="eastAsia" w:ascii="仿宋_GB2312" w:hAnsi="仿宋_GB2312" w:eastAsia="仿宋_GB2312" w:cs="仿宋_GB2312"/>
          <w:color w:val="auto"/>
          <w:kern w:val="0"/>
          <w:sz w:val="32"/>
          <w:szCs w:val="32"/>
          <w:lang w:val="en-US" w:eastAsia="zh-CN"/>
        </w:rPr>
        <w:t>603.99</w:t>
      </w:r>
      <w:r>
        <w:rPr>
          <w:rFonts w:hint="eastAsia" w:ascii="仿宋_GB2312" w:hAnsi="仿宋_GB2312" w:eastAsia="仿宋_GB2312" w:cs="仿宋_GB2312"/>
          <w:color w:val="auto"/>
          <w:kern w:val="0"/>
          <w:sz w:val="32"/>
          <w:szCs w:val="32"/>
        </w:rPr>
        <w:t>万元，其中：政府采购货物支出</w:t>
      </w:r>
      <w:r>
        <w:rPr>
          <w:rFonts w:hint="eastAsia" w:ascii="仿宋_GB2312" w:hAnsi="仿宋_GB2312" w:eastAsia="仿宋_GB2312" w:cs="仿宋_GB2312"/>
          <w:color w:val="auto"/>
          <w:kern w:val="0"/>
          <w:sz w:val="32"/>
          <w:szCs w:val="32"/>
          <w:lang w:val="en-US" w:eastAsia="zh-CN"/>
        </w:rPr>
        <w:t>46.55</w:t>
      </w:r>
      <w:r>
        <w:rPr>
          <w:rFonts w:hint="eastAsia" w:ascii="仿宋_GB2312" w:hAnsi="仿宋_GB2312" w:eastAsia="仿宋_GB2312" w:cs="仿宋_GB2312"/>
          <w:color w:val="auto"/>
          <w:kern w:val="0"/>
          <w:sz w:val="32"/>
          <w:szCs w:val="32"/>
        </w:rPr>
        <w:t>万元、政府采购服务支出</w:t>
      </w:r>
      <w:r>
        <w:rPr>
          <w:rFonts w:hint="eastAsia" w:ascii="仿宋_GB2312" w:hAnsi="仿宋_GB2312" w:eastAsia="仿宋_GB2312" w:cs="仿宋_GB2312"/>
          <w:color w:val="auto"/>
          <w:kern w:val="0"/>
          <w:sz w:val="32"/>
          <w:szCs w:val="32"/>
          <w:lang w:val="en-US" w:eastAsia="zh-CN"/>
        </w:rPr>
        <w:t>557.44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（含各类涉水规划方案编制服务、印刷服务、审计服务、物业服务、设计服务等）</w:t>
      </w:r>
      <w:r>
        <w:rPr>
          <w:rFonts w:hint="eastAsia" w:ascii="仿宋_GB2312" w:hAnsi="仿宋_GB2312" w:eastAsia="仿宋_GB2312" w:cs="仿宋_GB2312"/>
          <w:color w:val="auto"/>
          <w:kern w:val="0"/>
          <w:sz w:val="32"/>
          <w:szCs w:val="32"/>
        </w:rPr>
        <w:t>。授予中小企业合同金额</w:t>
      </w:r>
      <w:r>
        <w:rPr>
          <w:rFonts w:hint="eastAsia" w:ascii="仿宋_GB2312" w:hAnsi="仿宋_GB2312" w:eastAsia="仿宋_GB2312" w:cs="仿宋_GB2312"/>
          <w:color w:val="auto"/>
          <w:kern w:val="0"/>
          <w:sz w:val="32"/>
          <w:szCs w:val="32"/>
          <w:lang w:val="en-US" w:eastAsia="zh-CN"/>
        </w:rPr>
        <w:t>483</w:t>
      </w:r>
      <w:r>
        <w:rPr>
          <w:rFonts w:hint="eastAsia"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79.96</w:t>
      </w:r>
      <w:r>
        <w:rPr>
          <w:rFonts w:hint="eastAsia" w:ascii="仿宋_GB2312" w:hAnsi="仿宋_GB2312" w:eastAsia="仿宋_GB2312" w:cs="仿宋_GB2312"/>
          <w:color w:val="auto"/>
          <w:kern w:val="0"/>
          <w:sz w:val="32"/>
          <w:szCs w:val="32"/>
        </w:rPr>
        <w:t>%，其中：授予小微企业合同金额</w:t>
      </w:r>
      <w:r>
        <w:rPr>
          <w:rFonts w:hint="eastAsia" w:ascii="仿宋_GB2312" w:hAnsi="仿宋_GB2312" w:eastAsia="仿宋_GB2312" w:cs="仿宋_GB2312"/>
          <w:color w:val="auto"/>
          <w:kern w:val="0"/>
          <w:sz w:val="32"/>
          <w:szCs w:val="32"/>
          <w:lang w:val="en-US" w:eastAsia="zh-CN"/>
        </w:rPr>
        <w:t>483</w:t>
      </w:r>
      <w:r>
        <w:rPr>
          <w:rFonts w:hint="eastAsia"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79.96</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2021年政府采购决算数比2020年543.6万元增加60.39万元，上涨11.11%，主要原因一是政府采购日趋规范，服务类支出增加，如涉水规划方案编制服务增加；二是更换一批国产电脑。</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（五）一般公共预算“三公”经费支出情况说明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水利和湖泊局</w:t>
      </w:r>
      <w:r>
        <w:rPr>
          <w:rFonts w:hint="eastAsia" w:ascii="仿宋_GB2312" w:hAnsi="仿宋_GB2312" w:eastAsia="仿宋_GB2312" w:cs="仿宋_GB2312"/>
          <w:color w:val="auto"/>
          <w:kern w:val="0"/>
          <w:sz w:val="32"/>
          <w:szCs w:val="32"/>
        </w:rPr>
        <w:t>“三公”经费支出总额为</w:t>
      </w:r>
      <w:r>
        <w:rPr>
          <w:rFonts w:hint="eastAsia" w:ascii="仿宋_GB2312" w:hAnsi="仿宋_GB2312" w:eastAsia="仿宋_GB2312" w:cs="仿宋_GB2312"/>
          <w:color w:val="auto"/>
          <w:kern w:val="0"/>
          <w:sz w:val="32"/>
          <w:szCs w:val="32"/>
          <w:lang w:val="en-US" w:eastAsia="zh-CN"/>
        </w:rPr>
        <w:t>23.07</w:t>
      </w:r>
      <w:r>
        <w:rPr>
          <w:rFonts w:hint="eastAsia" w:ascii="仿宋_GB2312" w:hAnsi="仿宋_GB2312" w:eastAsia="仿宋_GB2312" w:cs="仿宋_GB2312"/>
          <w:color w:val="auto"/>
          <w:kern w:val="0"/>
          <w:sz w:val="32"/>
          <w:szCs w:val="32"/>
        </w:rPr>
        <w:t>万元。其中市</w:t>
      </w:r>
      <w:r>
        <w:rPr>
          <w:rFonts w:hint="eastAsia" w:ascii="仿宋_GB2312" w:hAnsi="仿宋_GB2312" w:eastAsia="仿宋_GB2312" w:cs="仿宋_GB2312"/>
          <w:color w:val="auto"/>
          <w:kern w:val="0"/>
          <w:sz w:val="32"/>
          <w:szCs w:val="32"/>
          <w:lang w:eastAsia="zh-CN"/>
        </w:rPr>
        <w:t>水利和湖泊局</w:t>
      </w:r>
      <w:r>
        <w:rPr>
          <w:rFonts w:hint="eastAsia" w:ascii="仿宋_GB2312" w:hAnsi="仿宋_GB2312" w:eastAsia="仿宋_GB2312" w:cs="仿宋_GB2312"/>
          <w:color w:val="auto"/>
          <w:kern w:val="0"/>
          <w:sz w:val="32"/>
          <w:szCs w:val="32"/>
        </w:rPr>
        <w:t>本级</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“三公”经费支出总额为</w:t>
      </w:r>
      <w:r>
        <w:rPr>
          <w:rFonts w:hint="eastAsia" w:ascii="仿宋_GB2312" w:hAnsi="仿宋_GB2312" w:eastAsia="仿宋_GB2312" w:cs="仿宋_GB2312"/>
          <w:color w:val="auto"/>
          <w:kern w:val="0"/>
          <w:sz w:val="32"/>
          <w:szCs w:val="32"/>
          <w:lang w:val="en-US" w:eastAsia="zh-CN"/>
        </w:rPr>
        <w:t>22.29</w:t>
      </w:r>
      <w:r>
        <w:rPr>
          <w:rFonts w:hint="eastAsia" w:ascii="仿宋_GB2312" w:hAnsi="仿宋_GB2312" w:eastAsia="仿宋_GB2312" w:cs="仿宋_GB2312"/>
          <w:color w:val="auto"/>
          <w:kern w:val="0"/>
          <w:sz w:val="32"/>
          <w:szCs w:val="32"/>
        </w:rPr>
        <w:t>万元，比20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20.02万元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2.27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lang w:val="en-US" w:eastAsia="zh-CN"/>
        </w:rPr>
        <w:t>11.34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，原因是公务用车运行维护费预算较上年增长，实际维护费较上年增加</w:t>
      </w:r>
      <w:r>
        <w:rPr>
          <w:rFonts w:hint="eastAsia" w:ascii="仿宋_GB2312" w:hAnsi="仿宋_GB2312" w:eastAsia="仿宋_GB2312" w:cs="仿宋_GB2312"/>
          <w:color w:val="auto"/>
          <w:kern w:val="0"/>
          <w:sz w:val="32"/>
          <w:szCs w:val="32"/>
        </w:rPr>
        <w:t>；比</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年年初预算</w:t>
      </w:r>
      <w:r>
        <w:rPr>
          <w:rFonts w:hint="eastAsia" w:ascii="仿宋_GB2312" w:hAnsi="仿宋_GB2312" w:eastAsia="仿宋_GB2312" w:cs="仿宋_GB2312"/>
          <w:color w:val="auto"/>
          <w:kern w:val="0"/>
          <w:sz w:val="32"/>
          <w:szCs w:val="32"/>
          <w:lang w:val="en-US" w:eastAsia="zh-CN"/>
        </w:rPr>
        <w:t>22万元增加0.29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，原因是公务用车运行维护费较预算有所压缩，公务接待费较预算有所增加</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因公出国（境）</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批次</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人，费用</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公务用车运行维护费</w:t>
      </w:r>
      <w:r>
        <w:rPr>
          <w:rFonts w:hint="eastAsia" w:ascii="仿宋_GB2312" w:hAnsi="仿宋_GB2312" w:eastAsia="仿宋_GB2312" w:cs="仿宋_GB2312"/>
          <w:color w:val="auto"/>
          <w:kern w:val="0"/>
          <w:sz w:val="32"/>
          <w:szCs w:val="32"/>
          <w:lang w:val="en-US" w:eastAsia="zh-CN"/>
        </w:rPr>
        <w:t>15.34</w:t>
      </w:r>
      <w:r>
        <w:rPr>
          <w:rFonts w:hint="eastAsia" w:ascii="仿宋_GB2312" w:hAnsi="仿宋_GB2312" w:eastAsia="仿宋_GB2312" w:cs="仿宋_GB2312"/>
          <w:color w:val="auto"/>
          <w:kern w:val="0"/>
          <w:sz w:val="32"/>
          <w:szCs w:val="32"/>
        </w:rPr>
        <w:t>万元，比上年</w:t>
      </w:r>
      <w:r>
        <w:rPr>
          <w:rFonts w:hint="eastAsia" w:ascii="仿宋_GB2312" w:hAnsi="仿宋_GB2312" w:eastAsia="仿宋_GB2312" w:cs="仿宋_GB2312"/>
          <w:color w:val="auto"/>
          <w:kern w:val="0"/>
          <w:sz w:val="32"/>
          <w:szCs w:val="32"/>
          <w:lang w:val="en-US" w:eastAsia="zh-CN"/>
        </w:rPr>
        <w:t>14.73万元</w:t>
      </w:r>
      <w:r>
        <w:rPr>
          <w:rFonts w:hint="eastAsia" w:ascii="仿宋_GB2312" w:hAnsi="仿宋_GB2312" w:eastAsia="仿宋_GB2312" w:cs="仿宋_GB2312"/>
          <w:color w:val="auto"/>
          <w:kern w:val="0"/>
          <w:sz w:val="32"/>
          <w:szCs w:val="32"/>
        </w:rPr>
        <w:t>增加</w:t>
      </w:r>
      <w:r>
        <w:rPr>
          <w:rFonts w:hint="eastAsia" w:ascii="仿宋_GB2312" w:hAnsi="仿宋_GB2312" w:eastAsia="仿宋_GB2312" w:cs="仿宋_GB2312"/>
          <w:color w:val="auto"/>
          <w:kern w:val="0"/>
          <w:sz w:val="32"/>
          <w:szCs w:val="32"/>
          <w:lang w:val="en-US" w:eastAsia="zh-CN"/>
        </w:rPr>
        <w:t>0.61</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lang w:val="en-US" w:eastAsia="zh-CN"/>
        </w:rPr>
        <w:t>4.1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增长原因：1、财政往年按市直平均水平4万元/辆车的口径在基本预算中安排车辆经费已经无法满足我局车辆使用、损耗维护费用以及燃油费，于是我局今年在水利执法监督、江河湖库水系综合整治、水旱灾害防御、重大水利项目前期工作等重大项目中安排了车辆运行费6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较往年预算基础上适当增加车辆费用预算。2、我局工作职能承担防汛抗旱、项目建设管理、督察检查等工作，需频繁到水库、堤坝等地进行督导巡查指导勘验，车辆使用频繁，且长期行驶在乡村小路、劣质公路上，燃油费、维修费都居高不下，加之车辆使用年限较长、维护成本高，按照市直平均车辆损耗水平安排我局车辆费无法足以支撑我局车辆正常运行。</w:t>
      </w:r>
      <w:r>
        <w:rPr>
          <w:rFonts w:hint="eastAsia" w:ascii="仿宋_GB2312" w:hAnsi="仿宋_GB2312" w:eastAsia="仿宋_GB2312" w:cs="仿宋_GB2312"/>
          <w:color w:val="auto"/>
          <w:kern w:val="0"/>
          <w:sz w:val="32"/>
          <w:szCs w:val="32"/>
          <w:lang w:eastAsia="zh-CN"/>
        </w:rPr>
        <w:t>比预算</w:t>
      </w:r>
      <w:r>
        <w:rPr>
          <w:rFonts w:hint="eastAsia" w:ascii="仿宋_GB2312" w:hAnsi="仿宋_GB2312" w:eastAsia="仿宋_GB2312" w:cs="仿宋_GB2312"/>
          <w:color w:val="auto"/>
          <w:kern w:val="0"/>
          <w:sz w:val="32"/>
          <w:szCs w:val="32"/>
          <w:lang w:val="en-US" w:eastAsia="zh-CN"/>
        </w:rPr>
        <w:t>16万元减少0.66万元，下降4.1%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下降原因：合理编制预算，控制预算支出。</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公务用车购置费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，上年</w:t>
      </w:r>
      <w:r>
        <w:rPr>
          <w:rFonts w:hint="eastAsia" w:ascii="仿宋_GB2312" w:hAnsi="仿宋_GB2312" w:eastAsia="仿宋_GB2312" w:cs="仿宋_GB2312"/>
          <w:color w:val="auto"/>
          <w:kern w:val="0"/>
          <w:sz w:val="32"/>
          <w:szCs w:val="32"/>
          <w:lang w:val="en-US" w:eastAsia="zh-CN"/>
        </w:rPr>
        <w:t>0万元，预算0万元</w:t>
      </w:r>
      <w:r>
        <w:rPr>
          <w:rFonts w:hint="eastAsia" w:ascii="仿宋_GB2312" w:hAnsi="仿宋_GB2312" w:eastAsia="仿宋_GB2312" w:cs="仿宋_GB2312"/>
          <w:color w:val="auto"/>
          <w:kern w:val="0"/>
          <w:sz w:val="32"/>
          <w:szCs w:val="32"/>
        </w:rPr>
        <w:t>；公车保有量</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公务接待</w:t>
      </w:r>
      <w:r>
        <w:rPr>
          <w:rFonts w:hint="eastAsia" w:ascii="仿宋_GB2312" w:hAnsi="仿宋_GB2312" w:eastAsia="仿宋_GB2312" w:cs="仿宋_GB2312"/>
          <w:color w:val="auto"/>
          <w:kern w:val="0"/>
          <w:sz w:val="32"/>
          <w:szCs w:val="32"/>
          <w:lang w:val="en-US" w:eastAsia="zh-CN"/>
        </w:rPr>
        <w:t>102</w:t>
      </w:r>
      <w:r>
        <w:rPr>
          <w:rFonts w:hint="eastAsia" w:ascii="仿宋_GB2312" w:hAnsi="仿宋_GB2312" w:eastAsia="仿宋_GB2312" w:cs="仿宋_GB2312"/>
          <w:color w:val="auto"/>
          <w:kern w:val="0"/>
          <w:sz w:val="32"/>
          <w:szCs w:val="32"/>
        </w:rPr>
        <w:t>批次</w:t>
      </w:r>
      <w:r>
        <w:rPr>
          <w:rFonts w:hint="eastAsia" w:ascii="仿宋_GB2312" w:hAnsi="仿宋_GB2312" w:eastAsia="仿宋_GB2312" w:cs="仿宋_GB2312"/>
          <w:color w:val="auto"/>
          <w:kern w:val="0"/>
          <w:sz w:val="32"/>
          <w:szCs w:val="32"/>
          <w:lang w:val="en-US" w:eastAsia="zh-CN"/>
        </w:rPr>
        <w:t>818</w:t>
      </w:r>
      <w:r>
        <w:rPr>
          <w:rFonts w:hint="eastAsia" w:ascii="仿宋_GB2312" w:hAnsi="仿宋_GB2312" w:eastAsia="仿宋_GB2312" w:cs="仿宋_GB2312"/>
          <w:color w:val="auto"/>
          <w:kern w:val="0"/>
          <w:sz w:val="32"/>
          <w:szCs w:val="32"/>
        </w:rPr>
        <w:t>人，费用</w:t>
      </w:r>
      <w:r>
        <w:rPr>
          <w:rFonts w:hint="eastAsia" w:ascii="仿宋_GB2312" w:hAnsi="仿宋_GB2312" w:eastAsia="仿宋_GB2312" w:cs="仿宋_GB2312"/>
          <w:color w:val="auto"/>
          <w:kern w:val="0"/>
          <w:sz w:val="32"/>
          <w:szCs w:val="32"/>
          <w:lang w:val="en-US" w:eastAsia="zh-CN"/>
        </w:rPr>
        <w:t>6.95</w:t>
      </w:r>
      <w:r>
        <w:rPr>
          <w:rFonts w:hint="eastAsia" w:ascii="仿宋_GB2312" w:hAnsi="仿宋_GB2312" w:eastAsia="仿宋_GB2312" w:cs="仿宋_GB2312"/>
          <w:color w:val="auto"/>
          <w:kern w:val="0"/>
          <w:sz w:val="32"/>
          <w:szCs w:val="32"/>
        </w:rPr>
        <w:t>万元，比</w:t>
      </w:r>
      <w:r>
        <w:rPr>
          <w:rFonts w:hint="eastAsia" w:ascii="仿宋_GB2312" w:hAnsi="仿宋_GB2312" w:eastAsia="仿宋_GB2312" w:cs="仿宋_GB2312"/>
          <w:color w:val="auto"/>
          <w:kern w:val="0"/>
          <w:sz w:val="32"/>
          <w:szCs w:val="32"/>
          <w:lang w:val="en-US" w:eastAsia="zh-CN"/>
        </w:rPr>
        <w:t>2020年5.3万元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1.65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lang w:val="en-US" w:eastAsia="zh-CN"/>
        </w:rPr>
        <w:t>31.13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；比预算</w:t>
      </w:r>
      <w:r>
        <w:rPr>
          <w:rFonts w:hint="eastAsia" w:ascii="仿宋_GB2312" w:hAnsi="仿宋_GB2312" w:eastAsia="仿宋_GB2312" w:cs="仿宋_GB2312"/>
          <w:color w:val="auto"/>
          <w:kern w:val="0"/>
          <w:sz w:val="32"/>
          <w:szCs w:val="32"/>
          <w:lang w:val="en-US" w:eastAsia="zh-CN"/>
        </w:rPr>
        <w:t>6万元增加0.95万元，上浮15.8%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rPr>
        <w:t>原因：</w:t>
      </w:r>
      <w:r>
        <w:rPr>
          <w:rFonts w:hint="eastAsia" w:ascii="仿宋_GB2312" w:hAnsi="仿宋_GB2312" w:eastAsia="仿宋_GB2312" w:cs="仿宋_GB2312"/>
          <w:color w:val="auto"/>
          <w:kern w:val="0"/>
          <w:sz w:val="32"/>
          <w:szCs w:val="32"/>
          <w:lang w:val="en-US" w:eastAsia="zh-CN"/>
        </w:rPr>
        <w:t>2020年新冠疫情爆发，因防疫控制减少接待</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2021年疫情防控常态化，接待恢复正常，所以较2020年及年初预算有所增长。</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（六）国有资产占用情况说明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年12月31日，</w:t>
      </w: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rPr>
        <w:t>共有车辆</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辆、所属单位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kern w:val="0"/>
          <w:sz w:val="32"/>
          <w:szCs w:val="32"/>
        </w:rPr>
        <w:t>，其中，应急保障用车</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辆；价值 50万元以上通用设备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台（套）；单位价值 100万元以上专用设备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台（套）。</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（七）</w:t>
      </w:r>
      <w:r>
        <w:rPr>
          <w:rFonts w:hint="eastAsia" w:ascii="楷体_GB2312" w:hAnsi="楷体_GB2312" w:eastAsia="楷体_GB2312" w:cs="楷体_GB2312"/>
          <w:color w:val="auto"/>
          <w:kern w:val="0"/>
          <w:sz w:val="32"/>
          <w:szCs w:val="32"/>
          <w:lang w:eastAsia="zh-CN"/>
        </w:rPr>
        <w:t>2021</w:t>
      </w:r>
      <w:r>
        <w:rPr>
          <w:rFonts w:hint="eastAsia" w:ascii="楷体_GB2312" w:hAnsi="楷体_GB2312" w:eastAsia="楷体_GB2312" w:cs="楷体_GB2312"/>
          <w:color w:val="auto"/>
          <w:kern w:val="0"/>
          <w:sz w:val="32"/>
          <w:szCs w:val="32"/>
        </w:rPr>
        <w:t>年度预算绩效执行情况说明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1.预算绩效管理工作开展情况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根据预算绩效管理要求，我</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年项目支出</w:t>
      </w:r>
      <w:r>
        <w:rPr>
          <w:rFonts w:hint="eastAsia" w:ascii="仿宋_GB2312" w:hAnsi="仿宋_GB2312" w:eastAsia="仿宋_GB2312" w:cs="仿宋_GB2312"/>
          <w:color w:val="auto"/>
          <w:kern w:val="0"/>
          <w:sz w:val="32"/>
          <w:szCs w:val="32"/>
          <w:lang w:eastAsia="zh-CN"/>
        </w:rPr>
        <w:t>全口径</w:t>
      </w:r>
      <w:r>
        <w:rPr>
          <w:rFonts w:hint="eastAsia" w:ascii="仿宋_GB2312" w:hAnsi="仿宋_GB2312" w:eastAsia="仿宋_GB2312" w:cs="仿宋_GB2312"/>
          <w:color w:val="auto"/>
          <w:kern w:val="0"/>
          <w:sz w:val="32"/>
          <w:szCs w:val="32"/>
        </w:rPr>
        <w:t>开展绩效自评，共涉及</w:t>
      </w:r>
      <w:r>
        <w:rPr>
          <w:rFonts w:hint="eastAsia" w:ascii="仿宋_GB2312" w:hAnsi="仿宋_GB2312" w:eastAsia="仿宋_GB2312" w:cs="仿宋_GB2312"/>
          <w:color w:val="auto"/>
          <w:kern w:val="0"/>
          <w:sz w:val="32"/>
          <w:szCs w:val="32"/>
          <w:lang w:eastAsia="zh-CN"/>
        </w:rPr>
        <w:t>市本级及上级补助</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共</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个，资金</w:t>
      </w:r>
      <w:r>
        <w:rPr>
          <w:rFonts w:hint="eastAsia" w:ascii="仿宋_GB2312" w:hAnsi="仿宋_GB2312" w:eastAsia="仿宋_GB2312" w:cs="仿宋_GB2312"/>
          <w:color w:val="auto"/>
          <w:kern w:val="0"/>
          <w:sz w:val="32"/>
          <w:szCs w:val="32"/>
          <w:lang w:val="en-US" w:eastAsia="zh-CN"/>
        </w:rPr>
        <w:t>3718.01</w:t>
      </w:r>
      <w:r>
        <w:rPr>
          <w:rFonts w:hint="eastAsia" w:ascii="仿宋_GB2312" w:hAnsi="仿宋_GB2312" w:eastAsia="仿宋_GB2312" w:cs="仿宋_GB2312"/>
          <w:color w:val="auto"/>
          <w:kern w:val="0"/>
          <w:sz w:val="32"/>
          <w:szCs w:val="32"/>
        </w:rPr>
        <w:t>万元，占一般公共预算项目支出总额的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％。从评价情况来看，</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我局严格按照财政部、省财政厅、省水利厅、市财政局相关文件要求，开展项目支出绩效管理，有关项目立项程序完整、规范，预算执行及时、有效，绩效目标得到较好实现，绩效管理水平不断提高，绩效指标体系建设逐渐丰富和完善。</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lang w:eastAsia="zh-CN"/>
        </w:rPr>
        <w:sectPr>
          <w:pgSz w:w="16838" w:h="11906" w:orient="landscape"/>
          <w:pgMar w:top="1800" w:right="1440" w:bottom="1800" w:left="1440" w:header="851" w:footer="992" w:gutter="0"/>
          <w:cols w:space="425" w:num="1"/>
          <w:docGrid w:type="lines" w:linePitch="312" w:charSpace="0"/>
        </w:sectPr>
      </w:pP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同时，我局</w:t>
      </w:r>
      <w:r>
        <w:rPr>
          <w:rFonts w:hint="eastAsia" w:ascii="仿宋_GB2312" w:hAnsi="仿宋_GB2312" w:eastAsia="仿宋_GB2312" w:cs="仿宋_GB2312"/>
          <w:color w:val="auto"/>
          <w:kern w:val="0"/>
          <w:sz w:val="32"/>
          <w:szCs w:val="32"/>
        </w:rPr>
        <w:t>组织开展部门整体支出绩效评价，从评价情况来看，</w:t>
      </w:r>
      <w:r>
        <w:rPr>
          <w:rFonts w:hint="eastAsia" w:ascii="仿宋_GB2312" w:hAnsi="仿宋_GB2312" w:eastAsia="仿宋_GB2312" w:cs="仿宋_GB2312"/>
          <w:color w:val="auto"/>
          <w:kern w:val="0"/>
          <w:sz w:val="32"/>
          <w:szCs w:val="32"/>
          <w:lang w:val="en-US" w:eastAsia="zh-CN"/>
        </w:rPr>
        <w:t>我局根据部门职能、事业发展规划、年度工作任务为导向，从预算管理、产出指标、效益指标三方面制定部门整体支出绩效总目标，同时将绩效总目标细化至预算执行率、预算调整率、数量指标、质量指标、时效指标、成本指标、经济效益指标、社会效益指标、生态环境指标、可持续发展效益指标、服务对象满意度指标，并根据重要性设置权重，多方面评价部门整体支出绩效。</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附：</w:t>
      </w:r>
      <w:r>
        <w:rPr>
          <w:rFonts w:hint="eastAsia" w:ascii="仿宋_GB2312" w:hAnsi="仿宋_GB2312" w:eastAsia="仿宋_GB2312" w:cs="仿宋_GB2312"/>
          <w:color w:val="auto"/>
          <w:kern w:val="0"/>
          <w:sz w:val="32"/>
          <w:szCs w:val="32"/>
        </w:rPr>
        <w:t>《咸宁市水利和湖泊局</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年度部门整体部门自评表》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市水利和湖泊局</w:t>
      </w:r>
      <w:r>
        <w:rPr>
          <w:rFonts w:hint="eastAsia" w:ascii="方正小标宋简体" w:hAnsi="宋体" w:eastAsia="方正小标宋简体" w:cs="方正小标宋简体"/>
          <w:color w:val="auto"/>
          <w:sz w:val="36"/>
          <w:szCs w:val="36"/>
        </w:rPr>
        <w:t>部门整体绩效自评表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2022.03</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7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单位名称</w:t>
            </w:r>
          </w:p>
        </w:tc>
        <w:tc>
          <w:tcPr>
            <w:tcW w:w="7420" w:type="dxa"/>
            <w:gridSpan w:val="8"/>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eastAsia="zh-CN"/>
              </w:rPr>
              <w:t>咸宁市水利和湖泊局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基本支出总额</w:t>
            </w:r>
          </w:p>
        </w:tc>
        <w:tc>
          <w:tcPr>
            <w:tcW w:w="3364" w:type="dxa"/>
            <w:gridSpan w:val="4"/>
            <w:noWrap w:val="0"/>
            <w:vAlign w:val="center"/>
          </w:tcPr>
          <w:p>
            <w:pPr>
              <w:widowControl/>
              <w:snapToGrid w:val="0"/>
              <w:spacing w:line="520" w:lineRule="exact"/>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1122.52</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项目支出总额</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2718</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部门整体支出总额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4114.74</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3840.52</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93.34%</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年度目标</w:t>
            </w:r>
          </w:p>
        </w:tc>
        <w:tc>
          <w:tcPr>
            <w:tcW w:w="7420" w:type="dxa"/>
            <w:gridSpan w:val="8"/>
            <w:noWrap w:val="0"/>
            <w:vAlign w:val="center"/>
          </w:tcPr>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1.全面推行河湖长制。“省考”目标：较上年进位保位、全省前10。</w:t>
            </w:r>
          </w:p>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2.围绕“三条红线”考核。节约用水、提高用水效率。改善水生态环境。</w:t>
            </w:r>
          </w:p>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3.落实“四个确保，一个减轻”的防汛抗旱目标。</w:t>
            </w:r>
          </w:p>
          <w:p>
            <w:pPr>
              <w:widowControl/>
              <w:snapToGrid w:val="0"/>
              <w:jc w:val="both"/>
              <w:rPr>
                <w:rFonts w:hint="default"/>
                <w:color w:val="auto"/>
                <w:lang w:val="en-US" w:eastAsia="zh-CN"/>
              </w:rPr>
            </w:pPr>
            <w:r>
              <w:rPr>
                <w:rFonts w:hint="eastAsia" w:ascii="Times New Roman" w:hAnsi="Times New Roman" w:eastAsia="仿宋_GB2312" w:cs="Times New Roman"/>
                <w:color w:val="auto"/>
                <w:sz w:val="20"/>
                <w:szCs w:val="20"/>
                <w:highlight w:val="none"/>
                <w:lang w:val="en-US" w:eastAsia="zh-CN"/>
              </w:rPr>
              <w:t>4.市本级项目建设：斧头湖综合利用。完成《咸宁斧头湖湖底清淤及综合整治工程技术方案》编制。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restart"/>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ascii="仿宋_GB2312" w:hAnsi="宋体" w:eastAsia="仿宋_GB2312"/>
                <w:color w:val="auto"/>
                <w:kern w:val="0"/>
              </w:rPr>
            </w:pPr>
            <w:r>
              <w:rPr>
                <w:rFonts w:hint="default" w:ascii="Times New Roman" w:hAnsi="Times New Roman" w:eastAsia="仿宋_GB2312" w:cs="Times New Roman"/>
                <w:color w:val="auto"/>
                <w:sz w:val="20"/>
                <w:szCs w:val="20"/>
                <w:highlight w:val="none"/>
                <w:lang w:val="en-US" w:eastAsia="zh-CN"/>
              </w:rPr>
              <w:t>实施河湖长制规范化管理的河湖</w:t>
            </w:r>
            <w:r>
              <w:rPr>
                <w:rFonts w:hint="eastAsia" w:ascii="Times New Roman" w:hAnsi="Times New Roman" w:eastAsia="仿宋_GB2312" w:cs="Times New Roman"/>
                <w:color w:val="auto"/>
                <w:sz w:val="20"/>
                <w:szCs w:val="20"/>
                <w:highlight w:val="none"/>
                <w:lang w:val="en-US" w:eastAsia="zh-CN"/>
              </w:rPr>
              <w:t>数量</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16条</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16条</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完成管理范围划定河湖数量</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16条</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16条</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全市用水总量指标</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≤16.48亿m³　</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≤16.48亿m³　</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万元GDP用水量　</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＜134.9m³</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＜134.9m³</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万元工业增加值用水量　</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＜91.2m³</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＜91.2m³</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水工程调度次数</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≥10次　</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≥10次　</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市管一、二级堤防溃堤处数</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0处</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0处</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市管大中型水库溃坝数量</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0座</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0座</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斧头湖底泥生态清淤及综合整治技术方案</w:t>
            </w: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完成</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lang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洪涝旱灾年均直接经济损失占GDP比重</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lang w:val="en-US" w:eastAsia="zh-CN"/>
              </w:rPr>
              <w:t>＜1%</w:t>
            </w:r>
          </w:p>
        </w:tc>
        <w:tc>
          <w:tcPr>
            <w:tcW w:w="1319" w:type="dxa"/>
            <w:noWrap w:val="0"/>
            <w:vAlign w:val="center"/>
          </w:tcPr>
          <w:p>
            <w:pPr>
              <w:widowControl/>
              <w:snapToGrid w:val="0"/>
              <w:spacing w:line="520" w:lineRule="exact"/>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Times New Roman"/>
                <w:color w:val="auto"/>
                <w:kern w:val="0"/>
                <w:lang w:val="en-US" w:eastAsia="zh-CN"/>
              </w:rPr>
              <w:t>＜1%</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仿宋_GB2312" w:hAnsi="宋体" w:eastAsia="仿宋_GB2312" w:cs="Times New Roman"/>
                <w:color w:val="auto"/>
                <w:kern w:val="0"/>
                <w:lang w:eastAsia="zh-CN"/>
              </w:rPr>
              <w:t>洪涝旱灾造成的人员伤亡</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0人</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olor w:val="auto"/>
                <w:kern w:val="0"/>
                <w:lang w:val="en-US" w:eastAsia="zh-CN"/>
              </w:rPr>
              <w:t>0人</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市级河湖长履职达标率</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hint="eastAsia" w:ascii="仿宋_GB2312" w:hAnsi="宋体" w:eastAsia="仿宋_GB2312" w:cs="仿宋_GB2312"/>
                <w:color w:val="auto"/>
                <w:kern w:val="0"/>
              </w:rPr>
            </w:pPr>
            <w:r>
              <w:rPr>
                <w:rFonts w:hint="eastAsia" w:ascii="Times New Roman" w:hAnsi="Times New Roman" w:eastAsia="仿宋_GB2312" w:cs="Times New Roman"/>
                <w:color w:val="auto"/>
                <w:sz w:val="20"/>
                <w:szCs w:val="20"/>
                <w:highlight w:val="none"/>
                <w:lang w:val="en-US" w:eastAsia="zh-CN"/>
              </w:rPr>
              <w:t>市管水利工程划界完成率</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农田灌溉水有效利用系数</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0.524</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lang w:val="en-US" w:eastAsia="zh-CN"/>
              </w:rPr>
              <w:t>0.5317</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重要江河湖泊水功能区水质达标率</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85%</w:t>
            </w:r>
          </w:p>
        </w:tc>
        <w:tc>
          <w:tcPr>
            <w:tcW w:w="1319" w:type="dxa"/>
            <w:noWrap w:val="0"/>
            <w:vAlign w:val="center"/>
          </w:tcPr>
          <w:p>
            <w:pPr>
              <w:widowControl/>
              <w:snapToGrid w:val="0"/>
              <w:spacing w:line="520" w:lineRule="exact"/>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85%</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群众满意度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color w:val="auto"/>
                <w:sz w:val="22"/>
                <w:szCs w:val="22"/>
                <w:highlight w:val="none"/>
              </w:rPr>
              <w:t>≥90%</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5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9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2.部门决算中项目绩效自评结果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0" w:firstLineChars="200"/>
        <w:jc w:val="both"/>
        <w:textAlignment w:val="auto"/>
        <w:rPr>
          <w:rFonts w:hint="eastAsia" w:ascii="仿宋_GB2312" w:hAnsi="仿宋_GB2312" w:eastAsia="仿宋_GB2312" w:cs="仿宋_GB2312"/>
          <w:color w:val="333333"/>
          <w:kern w:val="0"/>
          <w:sz w:val="27"/>
          <w:szCs w:val="27"/>
          <w:highlight w:val="none"/>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办公大楼维护运行</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。主要产出和效益：一是办公大楼维护频次</w:t>
      </w:r>
      <w:r>
        <w:rPr>
          <w:rFonts w:hint="eastAsia" w:ascii="仿宋_GB2312" w:hAnsi="仿宋_GB2312" w:eastAsia="仿宋_GB2312" w:cs="仿宋_GB2312"/>
          <w:color w:val="auto"/>
          <w:kern w:val="0"/>
          <w:sz w:val="32"/>
          <w:szCs w:val="32"/>
          <w:lang w:eastAsia="zh-CN"/>
        </w:rPr>
        <w:t>大于</w:t>
      </w:r>
      <w:r>
        <w:rPr>
          <w:rFonts w:hint="eastAsia" w:ascii="仿宋_GB2312" w:hAnsi="仿宋_GB2312" w:eastAsia="仿宋_GB2312" w:cs="仿宋_GB2312"/>
          <w:color w:val="auto"/>
          <w:kern w:val="0"/>
          <w:sz w:val="32"/>
          <w:szCs w:val="32"/>
          <w:lang w:val="en-US" w:eastAsia="zh-CN"/>
        </w:rPr>
        <w:t>12次</w:t>
      </w:r>
      <w:r>
        <w:rPr>
          <w:rFonts w:hint="eastAsia" w:ascii="仿宋_GB2312" w:hAnsi="仿宋_GB2312" w:eastAsia="仿宋_GB2312" w:cs="仿宋_GB2312"/>
          <w:color w:val="auto"/>
          <w:kern w:val="0"/>
          <w:sz w:val="32"/>
          <w:szCs w:val="32"/>
        </w:rPr>
        <w:t>；二是消防安全事故发生率</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lang w:val="en-US" w:eastAsia="zh-CN"/>
        </w:rPr>
        <w:t>0；三是</w:t>
      </w:r>
      <w:r>
        <w:rPr>
          <w:rFonts w:hint="eastAsia" w:ascii="仿宋_GB2312" w:hAnsi="仿宋_GB2312" w:eastAsia="仿宋_GB2312" w:cs="仿宋_GB2312"/>
          <w:color w:val="auto"/>
          <w:kern w:val="0"/>
          <w:sz w:val="32"/>
          <w:szCs w:val="32"/>
        </w:rPr>
        <w:t>公共设施完好率≥90%</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rPr>
        <w:t>改善工作环境、提高办公质量</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办公大楼维护运行</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办公大楼维护运行</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cs="仿宋_GB2312"/>
                <w:color w:val="auto"/>
                <w:kern w:val="0"/>
                <w:sz w:val="21"/>
                <w:szCs w:val="21"/>
                <w:lang w:eastAsia="zh-CN"/>
              </w:rPr>
              <w:t>办公大楼维护运行</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办公大楼维护频次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＞12次　</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＞12次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消防安全事故发生率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0</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0</w:t>
            </w:r>
            <w:r>
              <w:rPr>
                <w:rFonts w:hint="eastAsia" w:ascii="仿宋_GB2312" w:hAnsi="宋体" w:eastAsia="仿宋_GB2312" w:cs="仿宋_GB2312"/>
                <w:color w:val="auto"/>
                <w:kern w:val="0"/>
                <w:sz w:val="21"/>
                <w:szCs w:val="21"/>
              </w:rPr>
              <w:t>　</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公共设施完好率</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　</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改善工作环境、提高办公质量</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优</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优</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符合国家文明城市创建标准</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基本符合</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基本符合</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widowControl/>
              <w:snapToGrid w:val="0"/>
              <w:spacing w:line="520" w:lineRule="exact"/>
              <w:jc w:val="center"/>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职工满意度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lang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斧头湖底泥生态清淤相关工作</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248</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102.67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41.4%</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斧头湖底泥生态清淤及综合整治技术方案；二是</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斧头湖底泥污染现状研究报告</w:t>
      </w:r>
      <w:r>
        <w:rPr>
          <w:rFonts w:hint="eastAsia" w:ascii="仿宋_GB2312" w:hAnsi="仿宋_GB2312" w:eastAsia="仿宋_GB2312" w:cs="仿宋_GB2312"/>
          <w:color w:val="auto"/>
          <w:kern w:val="0"/>
          <w:sz w:val="32"/>
          <w:szCs w:val="32"/>
          <w:lang w:eastAsia="zh-CN"/>
        </w:rPr>
        <w:t>。发现的问题及原因：预算执行率较低。原因是《斧头湖底泥生态清淤及综合整治技术方案》公开招标，中标价</w:t>
      </w:r>
      <w:r>
        <w:rPr>
          <w:rFonts w:hint="eastAsia" w:ascii="仿宋_GB2312" w:hAnsi="仿宋_GB2312" w:eastAsia="仿宋_GB2312" w:cs="仿宋_GB2312"/>
          <w:color w:val="auto"/>
          <w:kern w:val="0"/>
          <w:sz w:val="32"/>
          <w:szCs w:val="32"/>
          <w:lang w:val="en-US" w:eastAsia="zh-CN"/>
        </w:rPr>
        <w:t>200万元，按合同约定2021年支付100万元，待市政府常委会批复后，2022年支付剩余105万元（含审计费用5万元）</w:t>
      </w:r>
      <w:r>
        <w:rPr>
          <w:rFonts w:hint="eastAsia" w:ascii="仿宋_GB2312" w:hAnsi="仿宋_GB2312" w:eastAsia="仿宋_GB2312" w:cs="仿宋_GB2312"/>
          <w:color w:val="auto"/>
          <w:kern w:val="0"/>
          <w:sz w:val="32"/>
          <w:szCs w:val="32"/>
          <w:lang w:eastAsia="zh-CN"/>
        </w:rPr>
        <w:t>。下一步改进措施：加快推进专家审查，</w:t>
      </w:r>
      <w:r>
        <w:rPr>
          <w:rFonts w:hint="eastAsia" w:ascii="仿宋_GB2312" w:hAnsi="仿宋_GB2312" w:eastAsia="仿宋_GB2312" w:cs="仿宋_GB2312"/>
          <w:color w:val="auto"/>
          <w:kern w:val="0"/>
          <w:sz w:val="32"/>
          <w:szCs w:val="32"/>
          <w:lang w:val="en-US" w:eastAsia="zh-CN"/>
        </w:rPr>
        <w:t>2022年争取项目结转资金，完成该项目支付。</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斧头湖底泥生态清淤相关工作</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斧头湖底泥生态清淤相关工作</w:t>
      </w:r>
      <w:r>
        <w:rPr>
          <w:rFonts w:hint="eastAsia" w:ascii="方正小标宋简体" w:hAnsi="宋体" w:eastAsia="方正小标宋简体" w:cs="方正小标宋简体"/>
          <w:color w:val="auto"/>
          <w:sz w:val="36"/>
          <w:szCs w:val="36"/>
        </w:rPr>
        <w:t>项目绩效自评表</w:t>
      </w:r>
    </w:p>
    <w:p>
      <w:pPr>
        <w:widowControl/>
        <w:jc w:val="left"/>
        <w:rPr>
          <w:rFonts w:hint="default" w:ascii="楷体_GB2312" w:hAnsi="黑体" w:eastAsia="楷体_GB2312"/>
          <w:color w:val="auto"/>
          <w:kern w:val="0"/>
          <w:sz w:val="48"/>
          <w:szCs w:val="48"/>
          <w:lang w:val="en-US" w:eastAsia="zh-CN"/>
        </w:rPr>
      </w:pPr>
      <w:r>
        <w:rPr>
          <w:rFonts w:hint="eastAsia" w:ascii="楷体_GB2312" w:hAnsi="Times New Roman" w:eastAsia="楷体_GB2312" w:cs="楷体_GB2312"/>
          <w:color w:val="auto"/>
          <w:sz w:val="28"/>
          <w:szCs w:val="28"/>
        </w:rPr>
        <w:t xml:space="preserve"> </w:t>
      </w: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16"/>
        <w:gridCol w:w="158"/>
        <w:gridCol w:w="903"/>
        <w:gridCol w:w="1248"/>
        <w:gridCol w:w="874"/>
        <w:gridCol w:w="372"/>
        <w:gridCol w:w="138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项目名称</w:t>
            </w:r>
          </w:p>
        </w:tc>
        <w:tc>
          <w:tcPr>
            <w:tcW w:w="7021" w:type="dxa"/>
            <w:gridSpan w:val="7"/>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hint="eastAsia" w:ascii="仿宋_GB2312" w:hAnsi="宋体" w:eastAsia="仿宋_GB2312" w:cstheme="minorBidi"/>
                <w:color w:val="auto"/>
                <w:kern w:val="0"/>
                <w:sz w:val="21"/>
                <w:lang w:eastAsia="zh-CN"/>
              </w:rPr>
              <w:t>斧头湖底泥生态清淤相关工作</w:t>
            </w:r>
            <w:r>
              <w:rPr>
                <w:rFonts w:hint="eastAsia" w:ascii="仿宋_GB2312" w:hAnsi="宋体" w:eastAsia="仿宋_GB2312" w:cstheme="minorBidi"/>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主管部门</w:t>
            </w:r>
          </w:p>
        </w:tc>
        <w:tc>
          <w:tcPr>
            <w:tcW w:w="3183" w:type="dxa"/>
            <w:gridSpan w:val="4"/>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val="en-US" w:eastAsia="zh-CN"/>
              </w:rPr>
            </w:pPr>
            <w:r>
              <w:rPr>
                <w:rFonts w:hint="eastAsia" w:ascii="仿宋_GB2312" w:hAnsi="宋体" w:eastAsia="仿宋_GB2312" w:cstheme="minorBidi"/>
                <w:color w:val="auto"/>
                <w:kern w:val="0"/>
                <w:sz w:val="21"/>
                <w:lang w:eastAsia="zh-CN"/>
              </w:rPr>
              <w:t>水利和湖泊局</w:t>
            </w:r>
          </w:p>
        </w:tc>
        <w:tc>
          <w:tcPr>
            <w:tcW w:w="1760"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项目实施单位</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hint="eastAsia" w:ascii="仿宋_GB2312" w:hAnsi="宋体" w:eastAsia="仿宋_GB2312" w:cstheme="minorBidi"/>
                <w:color w:val="auto"/>
                <w:kern w:val="0"/>
                <w:sz w:val="21"/>
                <w:lang w:eastAsia="zh-CN"/>
              </w:rPr>
              <w:t>水利和湖泊局</w:t>
            </w:r>
            <w:r>
              <w:rPr>
                <w:rFonts w:hint="eastAsia" w:ascii="仿宋_GB2312" w:hAnsi="宋体" w:eastAsia="仿宋_GB2312" w:cstheme="minorBidi"/>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项目类别</w:t>
            </w:r>
          </w:p>
        </w:tc>
        <w:tc>
          <w:tcPr>
            <w:tcW w:w="7021" w:type="dxa"/>
            <w:gridSpan w:val="7"/>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ascii="仿宋_GB2312" w:hAnsi="宋体" w:eastAsia="仿宋_GB2312" w:cstheme="minorBidi"/>
                <w:color w:val="auto"/>
                <w:kern w:val="0"/>
                <w:sz w:val="21"/>
              </w:rPr>
              <w:t>1</w:t>
            </w:r>
            <w:r>
              <w:rPr>
                <w:rFonts w:hint="eastAsia" w:ascii="仿宋_GB2312" w:hAnsi="宋体" w:eastAsia="仿宋_GB2312" w:cstheme="minorBidi"/>
                <w:color w:val="auto"/>
                <w:kern w:val="0"/>
                <w:sz w:val="21"/>
              </w:rPr>
              <w:t>、部门预算项目</w:t>
            </w:r>
            <w:r>
              <w:rPr>
                <w:rFonts w:hint="eastAsia" w:ascii="仿宋_GB2312" w:hAnsi="宋体" w:eastAsia="仿宋_GB2312" w:cstheme="minorBidi"/>
                <w:color w:val="auto"/>
                <w:kern w:val="0"/>
                <w:sz w:val="21"/>
                <w:lang w:eastAsia="zh-CN"/>
              </w:rPr>
              <w:t>☑</w:t>
            </w:r>
            <w:r>
              <w:rPr>
                <w:rFonts w:ascii="仿宋_GB2312" w:hAnsi="宋体" w:eastAsia="仿宋_GB2312" w:cstheme="minorBidi"/>
                <w:color w:val="auto"/>
                <w:kern w:val="0"/>
                <w:sz w:val="21"/>
              </w:rPr>
              <w:t xml:space="preserve">   2</w:t>
            </w:r>
            <w:r>
              <w:rPr>
                <w:rFonts w:hint="eastAsia" w:ascii="仿宋_GB2312" w:hAnsi="宋体" w:eastAsia="仿宋_GB2312" w:cstheme="minorBidi"/>
                <w:color w:val="auto"/>
                <w:kern w:val="0"/>
                <w:sz w:val="21"/>
              </w:rPr>
              <w:t>、市直专项□</w:t>
            </w:r>
            <w:r>
              <w:rPr>
                <w:rFonts w:ascii="仿宋_GB2312" w:hAnsi="宋体" w:eastAsia="仿宋_GB2312" w:cstheme="minorBidi"/>
                <w:color w:val="auto"/>
                <w:kern w:val="0"/>
                <w:sz w:val="21"/>
              </w:rPr>
              <w:t xml:space="preserve">  3</w:t>
            </w:r>
            <w:r>
              <w:rPr>
                <w:rFonts w:hint="eastAsia" w:ascii="仿宋_GB2312" w:hAnsi="宋体" w:eastAsia="仿宋_GB2312" w:cstheme="minorBidi"/>
                <w:color w:val="auto"/>
                <w:kern w:val="0"/>
                <w:sz w:val="21"/>
              </w:rPr>
              <w:t>、其他项目</w:t>
            </w:r>
            <w:r>
              <w:rPr>
                <w:rFonts w:hint="eastAsia" w:ascii="仿宋_GB2312" w:hAnsi="宋体" w:eastAsia="仿宋_GB2312" w:cstheme="minorBidi"/>
                <w:color w:val="auto"/>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项目类型</w:t>
            </w:r>
          </w:p>
        </w:tc>
        <w:tc>
          <w:tcPr>
            <w:tcW w:w="7021" w:type="dxa"/>
            <w:gridSpan w:val="7"/>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ascii="仿宋_GB2312" w:hAnsi="宋体" w:eastAsia="仿宋_GB2312" w:cstheme="minorBidi"/>
                <w:color w:val="auto"/>
                <w:kern w:val="0"/>
                <w:sz w:val="21"/>
              </w:rPr>
              <w:t>1</w:t>
            </w:r>
            <w:r>
              <w:rPr>
                <w:rFonts w:hint="eastAsia" w:ascii="仿宋_GB2312" w:hAnsi="宋体" w:eastAsia="仿宋_GB2312" w:cstheme="minorBidi"/>
                <w:color w:val="auto"/>
                <w:kern w:val="0"/>
                <w:sz w:val="21"/>
              </w:rPr>
              <w:t>、常年性项目</w:t>
            </w:r>
            <w:r>
              <w:rPr>
                <w:rFonts w:hint="eastAsia" w:ascii="仿宋_GB2312" w:hAnsi="宋体" w:cstheme="minorBidi"/>
                <w:color w:val="auto"/>
                <w:kern w:val="0"/>
                <w:sz w:val="21"/>
                <w:lang w:eastAsia="zh-CN"/>
              </w:rPr>
              <w:t>□</w:t>
            </w:r>
            <w:r>
              <w:rPr>
                <w:rFonts w:ascii="仿宋_GB2312" w:hAnsi="宋体" w:eastAsia="仿宋_GB2312" w:cstheme="minorBidi"/>
                <w:color w:val="auto"/>
                <w:kern w:val="0"/>
                <w:sz w:val="21"/>
              </w:rPr>
              <w:t xml:space="preserve">   2</w:t>
            </w:r>
            <w:r>
              <w:rPr>
                <w:rFonts w:hint="eastAsia" w:ascii="仿宋_GB2312" w:hAnsi="宋体" w:eastAsia="仿宋_GB2312" w:cstheme="minorBidi"/>
                <w:color w:val="auto"/>
                <w:kern w:val="0"/>
                <w:sz w:val="21"/>
              </w:rPr>
              <w:t>、延续性项目□</w:t>
            </w:r>
            <w:r>
              <w:rPr>
                <w:rFonts w:ascii="仿宋_GB2312" w:hAnsi="宋体" w:eastAsia="仿宋_GB2312" w:cstheme="minorBidi"/>
                <w:color w:val="auto"/>
                <w:kern w:val="0"/>
                <w:sz w:val="21"/>
              </w:rPr>
              <w:t xml:space="preserve">      3</w:t>
            </w:r>
            <w:r>
              <w:rPr>
                <w:rFonts w:hint="eastAsia" w:ascii="仿宋_GB2312" w:hAnsi="宋体" w:eastAsia="仿宋_GB2312" w:cstheme="minorBidi"/>
                <w:color w:val="auto"/>
                <w:kern w:val="0"/>
                <w:sz w:val="21"/>
              </w:rPr>
              <w:t>、一次性项目</w:t>
            </w:r>
            <w:r>
              <w:rPr>
                <w:rFonts w:hint="eastAsia" w:ascii="仿宋_GB2312" w:hAnsi="宋体" w:cstheme="minorBidi"/>
                <w:color w:val="auto"/>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2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ascii="仿宋_GB2312" w:hAnsi="宋体" w:eastAsia="仿宋_GB2312" w:cstheme="minorBidi"/>
                <w:color w:val="auto"/>
                <w:kern w:val="0"/>
                <w:sz w:val="21"/>
              </w:rPr>
            </w:pPr>
            <w:r>
              <w:rPr>
                <w:rFonts w:hint="eastAsia" w:ascii="仿宋_GB2312" w:hAnsi="宋体" w:eastAsia="仿宋_GB2312" w:cstheme="minorBidi"/>
                <w:color w:val="auto"/>
                <w:kern w:val="0"/>
                <w:sz w:val="21"/>
              </w:rPr>
              <w:t>预算执行情况（万元）</w:t>
            </w:r>
          </w:p>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w:t>
            </w:r>
            <w:r>
              <w:rPr>
                <w:rFonts w:hint="eastAsia" w:ascii="仿宋_GB2312" w:hAnsi="宋体" w:eastAsia="仿宋_GB2312" w:cstheme="minorBidi"/>
                <w:color w:val="auto"/>
                <w:kern w:val="0"/>
                <w:sz w:val="21"/>
                <w:lang w:val="en-US" w:eastAsia="zh-CN"/>
              </w:rPr>
              <w:t>1</w:t>
            </w:r>
            <w:r>
              <w:rPr>
                <w:rFonts w:ascii="仿宋_GB2312" w:hAnsi="宋体" w:eastAsia="仿宋_GB2312" w:cstheme="minorBidi"/>
                <w:color w:val="auto"/>
                <w:kern w:val="0"/>
                <w:sz w:val="21"/>
              </w:rPr>
              <w:t>0</w:t>
            </w:r>
            <w:r>
              <w:rPr>
                <w:rFonts w:hint="eastAsia" w:ascii="仿宋_GB2312" w:hAnsi="宋体" w:eastAsia="仿宋_GB2312" w:cstheme="minorBidi"/>
                <w:color w:val="auto"/>
                <w:kern w:val="0"/>
                <w:sz w:val="21"/>
              </w:rPr>
              <w:t>分）</w:t>
            </w:r>
          </w:p>
        </w:tc>
        <w:tc>
          <w:tcPr>
            <w:tcW w:w="106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hint="eastAsia" w:ascii="仿宋_GB2312" w:hAnsi="宋体" w:eastAsia="仿宋_GB2312" w:cstheme="minorBidi"/>
                <w:color w:val="auto"/>
                <w:kern w:val="0"/>
                <w:sz w:val="21"/>
              </w:rPr>
              <w:t>年度财政资金总额</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ascii="仿宋_GB2312" w:hAnsi="宋体" w:eastAsia="仿宋_GB2312" w:cstheme="minorBidi"/>
                <w:color w:val="auto"/>
                <w:kern w:val="0"/>
                <w:sz w:val="21"/>
              </w:rPr>
            </w:pPr>
            <w:r>
              <w:rPr>
                <w:rFonts w:hint="eastAsia" w:ascii="仿宋_GB2312" w:hAnsi="宋体" w:eastAsia="仿宋_GB2312" w:cstheme="minorBidi"/>
                <w:color w:val="auto"/>
                <w:kern w:val="0"/>
                <w:sz w:val="21"/>
              </w:rPr>
              <w:t>预算数（</w:t>
            </w:r>
            <w:r>
              <w:rPr>
                <w:rFonts w:ascii="仿宋_GB2312" w:hAnsi="宋体" w:eastAsia="仿宋_GB2312" w:cstheme="minorBidi"/>
                <w:color w:val="auto"/>
                <w:kern w:val="0"/>
                <w:sz w:val="21"/>
              </w:rPr>
              <w:t>A）</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执行数</w:t>
            </w:r>
            <w:r>
              <w:rPr>
                <w:rFonts w:ascii="仿宋_GB2312" w:hAnsi="宋体" w:eastAsia="仿宋_GB2312" w:cstheme="minorBidi"/>
                <w:color w:val="auto"/>
                <w:kern w:val="0"/>
                <w:sz w:val="21"/>
              </w:rPr>
              <w:t>（B）</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val="en-US" w:eastAsia="zh-CN"/>
              </w:rPr>
            </w:pPr>
            <w:r>
              <w:rPr>
                <w:rFonts w:hint="eastAsia" w:ascii="仿宋_GB2312" w:hAnsi="宋体" w:eastAsia="仿宋_GB2312" w:cstheme="minorBidi"/>
                <w:color w:val="auto"/>
                <w:kern w:val="0"/>
                <w:sz w:val="21"/>
              </w:rPr>
              <w:t>执行率</w:t>
            </w:r>
            <w:r>
              <w:rPr>
                <w:rFonts w:ascii="仿宋_GB2312" w:hAnsi="宋体" w:eastAsia="仿宋_GB2312" w:cstheme="minorBidi"/>
                <w:color w:val="auto"/>
                <w:kern w:val="0"/>
                <w:sz w:val="21"/>
              </w:rPr>
              <w:t>（B/A）</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ascii="仿宋_GB2312" w:hAnsi="宋体" w:eastAsia="仿宋_GB2312" w:cstheme="minorBidi"/>
                <w:color w:val="auto"/>
                <w:kern w:val="0"/>
                <w:sz w:val="21"/>
              </w:rPr>
            </w:pPr>
            <w:r>
              <w:rPr>
                <w:rFonts w:hint="eastAsia" w:ascii="仿宋_GB2312" w:hAnsi="宋体" w:eastAsia="仿宋_GB2312" w:cstheme="minorBidi"/>
                <w:color w:val="auto"/>
                <w:kern w:val="0"/>
                <w:sz w:val="21"/>
              </w:rPr>
              <w:t>得分</w:t>
            </w:r>
          </w:p>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eastAsia="仿宋_GB2312" w:cstheme="minorBidi"/>
                <w:color w:val="auto"/>
                <w:kern w:val="0"/>
                <w:sz w:val="21"/>
              </w:rPr>
              <w:t>（</w:t>
            </w:r>
            <w:r>
              <w:rPr>
                <w:rFonts w:hint="eastAsia" w:ascii="仿宋_GB2312" w:hAnsi="宋体" w:eastAsia="仿宋_GB2312" w:cstheme="minorBidi"/>
                <w:color w:val="auto"/>
                <w:kern w:val="0"/>
                <w:sz w:val="21"/>
                <w:lang w:val="en-US" w:eastAsia="zh-CN"/>
              </w:rPr>
              <w:t>1</w:t>
            </w:r>
            <w:r>
              <w:rPr>
                <w:rFonts w:ascii="仿宋_GB2312" w:hAnsi="宋体" w:eastAsia="仿宋_GB2312" w:cstheme="minorBidi"/>
                <w:color w:val="auto"/>
                <w:kern w:val="0"/>
                <w:sz w:val="21"/>
              </w:rPr>
              <w:t>0</w:t>
            </w:r>
            <w:r>
              <w:rPr>
                <w:rFonts w:hint="eastAsia" w:ascii="仿宋_GB2312" w:hAnsi="宋体" w:eastAsia="仿宋_GB2312" w:cstheme="minorBidi"/>
                <w:color w:val="auto"/>
                <w:kern w:val="0"/>
                <w:sz w:val="21"/>
              </w:rPr>
              <w:t>分</w:t>
            </w:r>
            <w:r>
              <w:rPr>
                <w:rFonts w:ascii="仿宋_GB2312" w:hAnsi="宋体" w:eastAsia="仿宋_GB2312" w:cstheme="minorBidi"/>
                <w:color w:val="auto"/>
                <w:kern w:val="0"/>
                <w:sz w:val="21"/>
              </w:rPr>
              <w:t>*</w:t>
            </w:r>
            <w:r>
              <w:rPr>
                <w:rFonts w:hint="eastAsia" w:ascii="仿宋_GB2312" w:hAnsi="宋体" w:eastAsia="仿宋_GB2312" w:cstheme="minorBidi"/>
                <w:color w:val="auto"/>
                <w:kern w:val="0"/>
                <w:sz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2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p>
        </w:tc>
        <w:tc>
          <w:tcPr>
            <w:tcW w:w="106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rPr>
            </w:pPr>
            <w:r>
              <w:rPr>
                <w:rFonts w:hint="eastAsia" w:ascii="仿宋_GB2312" w:hAnsi="宋体" w:cstheme="minorBidi"/>
                <w:color w:val="auto"/>
                <w:kern w:val="0"/>
                <w:sz w:val="21"/>
                <w:lang w:val="en-US" w:eastAsia="zh-CN"/>
              </w:rPr>
              <w:t>248</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cstheme="minorBidi"/>
                <w:color w:val="auto"/>
                <w:kern w:val="0"/>
                <w:sz w:val="21"/>
                <w:lang w:val="en-US" w:eastAsia="zh-CN"/>
              </w:rPr>
              <w:t>102.67</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cstheme="minorBidi"/>
                <w:color w:val="auto"/>
                <w:kern w:val="0"/>
                <w:sz w:val="21"/>
                <w:lang w:val="en-US" w:eastAsia="zh-CN"/>
              </w:rPr>
              <w:t>41.4%</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cstheme="minorBidi"/>
                <w:color w:val="auto"/>
                <w:kern w:val="0"/>
                <w:sz w:val="21"/>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12" w:type="dxa"/>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b/>
                <w:color w:val="auto"/>
                <w:kern w:val="0"/>
                <w:sz w:val="21"/>
                <w:szCs w:val="21"/>
              </w:rPr>
              <w:t>年度绩效目标</w:t>
            </w:r>
          </w:p>
        </w:tc>
        <w:tc>
          <w:tcPr>
            <w:tcW w:w="716"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指标</w:t>
            </w: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二级指标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三级指标</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年初目标值（A）</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实际完成值（B）</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lang w:val="en-US" w:eastAsia="zh-CN"/>
              </w:rPr>
            </w:pPr>
            <w:r>
              <w:rPr>
                <w:rFonts w:hint="eastAsia" w:ascii="仿宋_GB2312" w:hAnsi="宋体" w:eastAsia="仿宋_GB2312" w:cs="仿宋_GB2312"/>
                <w:color w:val="auto"/>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产出</w:t>
            </w:r>
          </w:p>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指标</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0"/>
                <w:szCs w:val="22"/>
              </w:rPr>
              <w:t>（50分）</w:t>
            </w:r>
          </w:p>
        </w:tc>
        <w:tc>
          <w:tcPr>
            <w:tcW w:w="1061" w:type="dxa"/>
            <w:gridSpan w:val="2"/>
            <w:vMerge w:val="restart"/>
            <w:tcBorders>
              <w:top w:val="single" w:color="auto" w:sz="4" w:space="0"/>
              <w:left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数量指标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eastAsia="zh-CN"/>
              </w:rPr>
              <w:t>网格化采集样品</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80份</w:t>
            </w: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80份</w:t>
            </w: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采集彼得森样品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560份</w:t>
            </w: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lang w:val="en-US" w:eastAsia="zh-CN"/>
              </w:rPr>
            </w:pPr>
            <w:r>
              <w:rPr>
                <w:rFonts w:hint="eastAsia" w:ascii="仿宋_GB2312" w:hAnsi="宋体" w:cs="仿宋_GB2312"/>
                <w:color w:val="auto"/>
                <w:kern w:val="0"/>
                <w:sz w:val="21"/>
                <w:szCs w:val="21"/>
                <w:lang w:val="en-US" w:eastAsia="zh-CN"/>
              </w:rPr>
              <w:t>560份</w:t>
            </w: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斧头湖底泥污染现状研究报告</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斧头湖底泥生态清淤及综合整治技术方案</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斧头湖底泥生态清淤及综合整治效果评估报告</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质量指标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满足改善斧头湖生态环境要求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市人民政府认可</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lang w:eastAsia="zh-CN"/>
              </w:rPr>
            </w:pPr>
            <w:r>
              <w:rPr>
                <w:rFonts w:hint="eastAsia" w:ascii="仿宋_GB2312" w:hAnsi="宋体" w:cs="仿宋_GB2312"/>
                <w:color w:val="auto"/>
                <w:kern w:val="0"/>
                <w:sz w:val="21"/>
                <w:szCs w:val="21"/>
                <w:lang w:val="en-US" w:eastAsia="zh-CN"/>
              </w:rPr>
              <w:t>市人民政府认可</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时效指标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完成时限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3个月</w:t>
            </w: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3个月</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成本指标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ind w:firstLine="210" w:firstLineChars="100"/>
              <w:jc w:val="left"/>
              <w:rPr>
                <w:rFonts w:hint="eastAsia" w:ascii="仿宋_GB2312" w:hAnsi="宋体" w:eastAsia="仿宋_GB2312" w:cs="仿宋_GB2312"/>
                <w:color w:val="auto"/>
                <w:kern w:val="0"/>
                <w:sz w:val="21"/>
                <w:szCs w:val="21"/>
              </w:rPr>
            </w:pP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效益</w:t>
            </w:r>
          </w:p>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指标</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0"/>
                <w:szCs w:val="22"/>
              </w:rPr>
              <w:t>（30分）</w:t>
            </w: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经济效益</w:t>
            </w:r>
          </w:p>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社会效益</w:t>
            </w:r>
          </w:p>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lang w:eastAsia="zh-CN"/>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生态效益</w:t>
            </w:r>
          </w:p>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对斧头湖水质、生态环境、旅游开发及船舶运行等</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Times New Roman"/>
                <w:color w:val="auto"/>
                <w:kern w:val="0"/>
                <w:sz w:val="21"/>
                <w:szCs w:val="21"/>
              </w:rPr>
              <w:t>提供参考依据</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ind w:left="210" w:hanging="210" w:hangingChars="100"/>
              <w:jc w:val="left"/>
              <w:rPr>
                <w:rFonts w:hint="eastAsia" w:ascii="仿宋_GB2312" w:hAnsi="宋体" w:eastAsia="仿宋_GB2312" w:cs="Times New Roman"/>
                <w:color w:val="auto"/>
                <w:kern w:val="0"/>
                <w:sz w:val="21"/>
                <w:szCs w:val="21"/>
                <w:lang w:eastAsia="zh-CN"/>
              </w:rPr>
            </w:pPr>
            <w:r>
              <w:rPr>
                <w:rFonts w:hint="eastAsia" w:ascii="仿宋_GB2312" w:hAnsi="宋体" w:eastAsia="仿宋_GB2312" w:cs="Times New Roman"/>
                <w:color w:val="auto"/>
                <w:kern w:val="0"/>
                <w:sz w:val="21"/>
                <w:szCs w:val="21"/>
              </w:rPr>
              <w:t>提供参考依据</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可持续</w:t>
            </w:r>
          </w:p>
          <w:p>
            <w:pPr>
              <w:widowControl/>
              <w:spacing w:beforeLines="0" w:afterLines="0"/>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影响指标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b/>
                <w:color w:val="auto"/>
                <w:kern w:val="0"/>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olor w:val="auto"/>
                <w:kern w:val="0"/>
                <w:sz w:val="21"/>
                <w:szCs w:val="24"/>
              </w:rPr>
            </w:pPr>
            <w:r>
              <w:rPr>
                <w:rFonts w:hint="eastAsia" w:ascii="仿宋_GB2312" w:hAnsi="宋体" w:eastAsia="仿宋_GB2312"/>
                <w:color w:val="auto"/>
                <w:kern w:val="0"/>
                <w:sz w:val="21"/>
                <w:szCs w:val="24"/>
              </w:rPr>
              <w:t>满意度指  标</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olor w:val="auto"/>
                <w:kern w:val="0"/>
                <w:sz w:val="20"/>
                <w:szCs w:val="22"/>
              </w:rPr>
              <w:t>（10分）</w:t>
            </w: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服务对象满意度</w:t>
            </w:r>
          </w:p>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群众满意度</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≥90%</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≥90%</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1"/>
                <w:szCs w:val="24"/>
              </w:rPr>
              <w:t>总分</w:t>
            </w:r>
          </w:p>
        </w:tc>
        <w:tc>
          <w:tcPr>
            <w:tcW w:w="7737" w:type="dxa"/>
            <w:gridSpan w:val="8"/>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ind w:firstLine="3360" w:firstLineChars="1600"/>
              <w:jc w:val="both"/>
              <w:rPr>
                <w:rFonts w:hint="default" w:ascii="仿宋_GB2312" w:hAnsi="宋体" w:eastAsia="仿宋_GB2312" w:cs="仿宋_GB2312"/>
                <w:color w:val="auto"/>
                <w:kern w:val="0"/>
                <w:sz w:val="21"/>
                <w:szCs w:val="21"/>
                <w:lang w:val="en-US" w:eastAsia="zh-CN"/>
              </w:rPr>
            </w:pPr>
            <w:r>
              <w:rPr>
                <w:rFonts w:hint="eastAsia" w:ascii="仿宋_GB2312" w:hAnsi="宋体"/>
                <w:color w:val="auto"/>
                <w:kern w:val="0"/>
                <w:sz w:val="21"/>
                <w:szCs w:val="24"/>
                <w:lang w:val="en-US" w:eastAsia="zh-CN"/>
              </w:rPr>
              <w:t>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386" w:type="dxa"/>
            <w:gridSpan w:val="3"/>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olor w:val="auto"/>
                <w:kern w:val="0"/>
                <w:sz w:val="21"/>
                <w:szCs w:val="24"/>
              </w:rPr>
            </w:pPr>
            <w:r>
              <w:rPr>
                <w:rFonts w:hint="eastAsia" w:ascii="仿宋_GB2312" w:hAnsi="宋体" w:eastAsia="仿宋_GB2312" w:cs="仿宋_GB2312"/>
                <w:color w:val="auto"/>
                <w:kern w:val="0"/>
                <w:sz w:val="21"/>
                <w:szCs w:val="24"/>
              </w:rPr>
              <w:t>偏差大或</w:t>
            </w:r>
          </w:p>
          <w:p>
            <w:pPr>
              <w:widowControl/>
              <w:spacing w:beforeLines="0" w:afterLines="0"/>
              <w:jc w:val="center"/>
              <w:rPr>
                <w:rFonts w:hint="eastAsia" w:ascii="仿宋_GB2312" w:hAnsi="宋体" w:eastAsia="仿宋_GB2312"/>
                <w:color w:val="auto"/>
                <w:kern w:val="0"/>
                <w:sz w:val="21"/>
                <w:szCs w:val="24"/>
              </w:rPr>
            </w:pPr>
            <w:r>
              <w:rPr>
                <w:rFonts w:hint="eastAsia" w:ascii="仿宋_GB2312" w:hAnsi="宋体" w:eastAsia="仿宋_GB2312" w:cs="仿宋_GB2312"/>
                <w:color w:val="auto"/>
                <w:kern w:val="0"/>
                <w:sz w:val="21"/>
                <w:szCs w:val="24"/>
              </w:rPr>
              <w:t>目标未完成</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1"/>
                <w:szCs w:val="24"/>
              </w:rPr>
              <w:t>原因分析</w:t>
            </w:r>
          </w:p>
        </w:tc>
        <w:tc>
          <w:tcPr>
            <w:tcW w:w="6863" w:type="dxa"/>
            <w:gridSpan w:val="6"/>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default"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eastAsia="zh-CN"/>
              </w:rPr>
              <w:t>《</w:t>
            </w:r>
            <w:r>
              <w:rPr>
                <w:rFonts w:hint="eastAsia" w:ascii="仿宋_GB2312" w:hAnsi="宋体" w:eastAsia="仿宋_GB2312" w:cs="仿宋_GB2312"/>
                <w:color w:val="auto"/>
                <w:kern w:val="0"/>
                <w:sz w:val="21"/>
                <w:szCs w:val="21"/>
              </w:rPr>
              <w:t>斧头湖底泥生态清淤及综合整治技术方案</w:t>
            </w:r>
            <w:r>
              <w:rPr>
                <w:rFonts w:hint="eastAsia" w:ascii="仿宋_GB2312" w:hAnsi="宋体" w:cs="仿宋_GB2312"/>
                <w:color w:val="auto"/>
                <w:kern w:val="0"/>
                <w:sz w:val="21"/>
                <w:szCs w:val="21"/>
                <w:lang w:eastAsia="zh-CN"/>
              </w:rPr>
              <w:t>》</w:t>
            </w:r>
            <w:r>
              <w:rPr>
                <w:rFonts w:hint="eastAsia" w:ascii="仿宋_GB2312" w:hAnsi="宋体" w:eastAsia="仿宋_GB2312" w:cs="仿宋_GB2312"/>
                <w:color w:val="auto"/>
                <w:kern w:val="0"/>
                <w:sz w:val="21"/>
                <w:lang w:eastAsia="zh-CN"/>
              </w:rPr>
              <w:t>公开招标，中标价</w:t>
            </w:r>
            <w:r>
              <w:rPr>
                <w:rFonts w:hint="eastAsia" w:ascii="仿宋_GB2312" w:hAnsi="宋体" w:eastAsia="仿宋_GB2312" w:cs="仿宋_GB2312"/>
                <w:color w:val="auto"/>
                <w:kern w:val="0"/>
                <w:sz w:val="21"/>
                <w:lang w:val="en-US" w:eastAsia="zh-CN"/>
              </w:rPr>
              <w:t>200万元，按合同约定2021年支付100万元，待市政府常委会批复后，2022年支付剩余105万元（含审计费用5万元）。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86" w:type="dxa"/>
            <w:gridSpan w:val="3"/>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改进措施及</w:t>
            </w:r>
          </w:p>
          <w:p>
            <w:pPr>
              <w:widowControl/>
              <w:spacing w:beforeLines="0" w:afterLines="0"/>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结果应用方案</w:t>
            </w:r>
          </w:p>
        </w:tc>
        <w:tc>
          <w:tcPr>
            <w:tcW w:w="6863" w:type="dxa"/>
            <w:gridSpan w:val="6"/>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default" w:ascii="仿宋_GB2312" w:hAnsi="宋体" w:eastAsia="仿宋_GB2312"/>
                <w:color w:val="auto"/>
                <w:kern w:val="0"/>
                <w:sz w:val="21"/>
                <w:szCs w:val="24"/>
                <w:lang w:val="en-US" w:eastAsia="zh-CN"/>
              </w:rPr>
            </w:pPr>
            <w:r>
              <w:rPr>
                <w:rFonts w:hint="eastAsia" w:ascii="仿宋_GB2312" w:hAnsi="宋体" w:eastAsia="仿宋_GB2312" w:cs="仿宋_GB2312"/>
                <w:color w:val="auto"/>
                <w:kern w:val="0"/>
                <w:sz w:val="21"/>
                <w:lang w:val="en-US" w:eastAsia="zh-CN"/>
              </w:rPr>
              <w:t>2022年争取项目结转资金，完成该项目支付。</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淦河修复和生态补水</w:t>
      </w:r>
      <w:r>
        <w:rPr>
          <w:rFonts w:hint="eastAsia" w:ascii="仿宋_GB2312" w:hAnsi="仿宋_GB2312" w:eastAsia="仿宋_GB2312" w:cs="仿宋_GB2312"/>
          <w:color w:val="auto"/>
          <w:kern w:val="0"/>
          <w:sz w:val="32"/>
          <w:szCs w:val="32"/>
        </w:rPr>
        <w:t>项目绩效自评表》</w:t>
      </w:r>
    </w:p>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ind w:firstLine="640"/>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淦河修复和生态补水</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橡皮坝正常运转</w:t>
      </w:r>
      <w:r>
        <w:rPr>
          <w:rFonts w:hint="eastAsia" w:ascii="仿宋_GB2312" w:hAnsi="仿宋_GB2312" w:eastAsia="仿宋_GB2312" w:cs="仿宋_GB2312"/>
          <w:color w:val="auto"/>
          <w:kern w:val="0"/>
          <w:sz w:val="32"/>
          <w:szCs w:val="32"/>
          <w:lang w:val="en-US" w:eastAsia="zh-CN"/>
        </w:rPr>
        <w:t>3座</w:t>
      </w:r>
      <w:r>
        <w:rPr>
          <w:rFonts w:hint="eastAsia" w:ascii="仿宋_GB2312" w:hAnsi="仿宋_GB2312" w:eastAsia="仿宋_GB2312" w:cs="仿宋_GB2312"/>
          <w:color w:val="auto"/>
          <w:kern w:val="0"/>
          <w:sz w:val="32"/>
          <w:szCs w:val="32"/>
        </w:rPr>
        <w:t>；二是堤防达标率</w:t>
      </w:r>
      <w:r>
        <w:rPr>
          <w:rFonts w:hint="eastAsia" w:ascii="仿宋_GB2312" w:hAnsi="仿宋_GB2312" w:eastAsia="仿宋_GB2312" w:cs="仿宋_GB2312"/>
          <w:color w:val="auto"/>
          <w:kern w:val="0"/>
          <w:sz w:val="32"/>
          <w:szCs w:val="32"/>
          <w:lang w:val="en-US" w:eastAsia="zh-CN"/>
        </w:rPr>
        <w:t>≥95%；三是</w:t>
      </w:r>
      <w:r>
        <w:rPr>
          <w:rFonts w:hint="eastAsia" w:ascii="仿宋_GB2312" w:hAnsi="仿宋_GB2312" w:eastAsia="仿宋_GB2312" w:cs="仿宋_GB2312"/>
          <w:color w:val="auto"/>
          <w:kern w:val="0"/>
          <w:sz w:val="32"/>
          <w:szCs w:val="32"/>
          <w:lang w:eastAsia="zh-CN"/>
        </w:rPr>
        <w:t>河道生态流量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lang w:val="en-US" w:eastAsia="zh-CN"/>
        </w:rPr>
        <w:t>河道整治综合防洪排涝能力</w:t>
      </w:r>
    </w:p>
    <w:p>
      <w:pPr>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lang w:val="en-US" w:eastAsia="zh-CN"/>
        </w:rPr>
        <w:t>达标</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淦河修复和生态补水</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淦河修复和生态补水</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橡皮坝正常运转</w:t>
            </w:r>
            <w:r>
              <w:rPr>
                <w:rFonts w:hint="eastAsia" w:ascii="仿宋_GB2312" w:hAnsi="宋体" w:eastAsia="仿宋_GB2312" w:cs="仿宋_GB2312"/>
                <w:color w:val="auto"/>
                <w:kern w:val="0"/>
                <w:sz w:val="21"/>
                <w:szCs w:val="21"/>
              </w:rPr>
              <w:t>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3座</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3座</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堤防达标率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≥95%</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≥95%</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p>
        </w:tc>
        <w:tc>
          <w:tcPr>
            <w:tcW w:w="1466" w:type="dxa"/>
            <w:noWrap w:val="0"/>
            <w:vAlign w:val="center"/>
          </w:tcPr>
          <w:p>
            <w:pPr>
              <w:widowControl/>
              <w:spacing w:beforeLines="0" w:afterLines="0"/>
              <w:jc w:val="center"/>
              <w:rPr>
                <w:rFonts w:ascii="仿宋_GB2312" w:hAnsi="宋体" w:eastAsia="仿宋_GB2312"/>
                <w:color w:val="auto"/>
                <w:kern w:val="0"/>
              </w:rPr>
            </w:pPr>
          </w:p>
        </w:tc>
        <w:tc>
          <w:tcPr>
            <w:tcW w:w="1319" w:type="dxa"/>
            <w:noWrap w:val="0"/>
            <w:vAlign w:val="center"/>
          </w:tcPr>
          <w:p>
            <w:pPr>
              <w:widowControl/>
              <w:spacing w:beforeLines="0" w:afterLines="0"/>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成本控制</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≤50万</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≤50万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河道环境改善</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&gt;80%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&gt;80%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河道生态流量</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w:t>
            </w:r>
            <w:r>
              <w:rPr>
                <w:rFonts w:hint="eastAsia" w:ascii="仿宋_GB2312" w:hAnsi="宋体" w:cs="仿宋_GB2312"/>
                <w:color w:val="auto"/>
                <w:kern w:val="0"/>
                <w:sz w:val="21"/>
                <w:szCs w:val="21"/>
                <w:lang w:val="en-US" w:eastAsia="zh-CN"/>
              </w:rPr>
              <w:t>6m³/s</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15m³/s</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河道整治综合防洪排涝能力达标</w:t>
            </w: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达标</w:t>
            </w: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达标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受益群众满意度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行政许可技术审查评审项目绩效自评综述：项目全年预算数为</w:t>
      </w:r>
      <w:r>
        <w:rPr>
          <w:rFonts w:hint="eastAsia" w:ascii="仿宋_GB2312" w:hAnsi="仿宋_GB2312" w:eastAsia="仿宋_GB2312" w:cs="仿宋_GB2312"/>
          <w:color w:val="auto"/>
          <w:kern w:val="0"/>
          <w:sz w:val="32"/>
          <w:szCs w:val="32"/>
          <w:lang w:val="en-US" w:eastAsia="zh-CN"/>
        </w:rPr>
        <w:t>40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29.38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73.45%</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完成完成行政审批技术审查件数大于</w:t>
      </w:r>
      <w:r>
        <w:rPr>
          <w:rFonts w:hint="eastAsia" w:ascii="仿宋_GB2312" w:hAnsi="仿宋_GB2312" w:eastAsia="仿宋_GB2312" w:cs="仿宋_GB2312"/>
          <w:color w:val="auto"/>
          <w:kern w:val="0"/>
          <w:sz w:val="32"/>
          <w:szCs w:val="32"/>
          <w:lang w:val="en-US" w:eastAsia="zh-CN"/>
        </w:rPr>
        <w:t>30件</w:t>
      </w:r>
      <w:r>
        <w:rPr>
          <w:rFonts w:hint="eastAsia" w:ascii="仿宋_GB2312" w:hAnsi="仿宋_GB2312" w:eastAsia="仿宋_GB2312" w:cs="仿宋_GB2312"/>
          <w:color w:val="auto"/>
          <w:kern w:val="0"/>
          <w:sz w:val="32"/>
          <w:szCs w:val="32"/>
        </w:rPr>
        <w:t>；二是技术审查通过率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90%；三是</w:t>
      </w:r>
      <w:r>
        <w:rPr>
          <w:rFonts w:hint="eastAsia" w:ascii="仿宋_GB2312" w:hAnsi="仿宋_GB2312" w:eastAsia="仿宋_GB2312" w:cs="仿宋_GB2312"/>
          <w:color w:val="auto"/>
          <w:kern w:val="0"/>
          <w:sz w:val="32"/>
          <w:szCs w:val="32"/>
        </w:rPr>
        <w:t>减少企业负担</w:t>
      </w:r>
      <w:r>
        <w:rPr>
          <w:rFonts w:hint="eastAsia" w:ascii="仿宋_GB2312" w:hAnsi="仿宋_GB2312" w:eastAsia="仿宋_GB2312" w:cs="仿宋_GB2312"/>
          <w:color w:val="auto"/>
          <w:kern w:val="0"/>
          <w:sz w:val="32"/>
          <w:szCs w:val="32"/>
          <w:lang w:val="en-US" w:eastAsia="zh-CN"/>
        </w:rPr>
        <w:t>29.38万元；四是</w:t>
      </w:r>
      <w:r>
        <w:rPr>
          <w:rFonts w:hint="eastAsia" w:ascii="仿宋_GB2312" w:hAnsi="仿宋_GB2312" w:eastAsia="仿宋_GB2312" w:cs="仿宋_GB2312"/>
          <w:color w:val="auto"/>
          <w:kern w:val="0"/>
          <w:sz w:val="32"/>
          <w:szCs w:val="32"/>
        </w:rPr>
        <w:t>办事企业“好差评”满意度</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。发现的问题及原因：</w:t>
      </w:r>
      <w:r>
        <w:rPr>
          <w:rFonts w:hint="eastAsia" w:ascii="仿宋_GB2312" w:hAnsi="仿宋_GB2312" w:eastAsia="仿宋_GB2312" w:cs="仿宋_GB2312"/>
          <w:color w:val="auto"/>
          <w:kern w:val="0"/>
          <w:sz w:val="32"/>
          <w:szCs w:val="32"/>
          <w:lang w:val="en-US" w:eastAsia="zh-CN"/>
        </w:rPr>
        <w:t>1、</w:t>
      </w:r>
      <w:r>
        <w:rPr>
          <w:rFonts w:hint="eastAsia" w:ascii="仿宋_GB2312" w:hAnsi="宋体" w:eastAsia="仿宋_GB2312"/>
          <w:color w:val="auto"/>
          <w:kern w:val="0"/>
          <w:lang w:val="en-US" w:eastAsia="zh-CN"/>
        </w:rPr>
        <w:t>询价采购启动时间较晚。我局2021年5月才启动本项目询价采购手续，6月中旬才正式签订合同，实际执行合同时间只有6个月，而本项目申报实施时间为12个月；2、疫情致使建设项目减少。我局预期2021年较2020年办理审批的建设项目会有30%的增长，但受疫情影响，2021年办理审批的建设项目与2020年基本持平。</w:t>
      </w:r>
      <w:r>
        <w:rPr>
          <w:rFonts w:hint="eastAsia" w:ascii="仿宋_GB2312" w:hAnsi="仿宋_GB2312" w:eastAsia="仿宋_GB2312" w:cs="仿宋_GB2312"/>
          <w:color w:val="auto"/>
          <w:kern w:val="0"/>
          <w:sz w:val="32"/>
          <w:szCs w:val="32"/>
          <w:lang w:eastAsia="zh-CN"/>
        </w:rPr>
        <w:t>下一步改进措施：</w:t>
      </w:r>
      <w:r>
        <w:rPr>
          <w:rFonts w:hint="eastAsia" w:ascii="仿宋_GB2312" w:hAnsi="宋体" w:eastAsia="仿宋_GB2312"/>
          <w:color w:val="auto"/>
          <w:kern w:val="0"/>
          <w:lang w:val="en-US" w:eastAsia="zh-CN"/>
        </w:rPr>
        <w:t>1.加快项目采购手续。及早启动政府项目采购手续，积极向局党组汇报相关工作，督促责任科室及时启动项目采购手续；2.加强经济形势的研判，结合本地发展实际，合理预定年度预算投资计划。</w:t>
      </w:r>
    </w:p>
    <w:p>
      <w:pPr>
        <w:jc w:val="center"/>
        <w:rPr>
          <w:rFonts w:hint="eastAsia" w:ascii="仿宋_GB2312" w:hAnsi="仿宋_GB2312" w:eastAsia="仿宋_GB2312" w:cs="仿宋_GB2312"/>
          <w:color w:val="auto"/>
          <w:kern w:val="0"/>
          <w:sz w:val="32"/>
          <w:szCs w:val="32"/>
        </w:rPr>
      </w:pPr>
    </w:p>
    <w:p>
      <w:pPr>
        <w:jc w:val="both"/>
        <w:rPr>
          <w:rFonts w:hint="eastAsia"/>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年度行政许可技术审查评审项目绩效自评表》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年度行政许可技术审查评审项目绩效自评表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行政许可技术审查评审费用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40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29.38</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73.45</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完成行政审批技术审查件数</w:t>
            </w:r>
            <w:r>
              <w:rPr>
                <w:rFonts w:hint="eastAsia" w:ascii="仿宋_GB2312" w:hAnsi="宋体" w:eastAsia="仿宋_GB2312" w:cs="仿宋_GB2312"/>
                <w:color w:val="auto"/>
                <w:kern w:val="0"/>
                <w:sz w:val="21"/>
                <w:szCs w:val="21"/>
              </w:rPr>
              <w:t>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≥30件</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35</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技术审查通过率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≥94.2%</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实效</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完成技术审查及时性</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≥95%</w:t>
            </w:r>
          </w:p>
        </w:tc>
        <w:tc>
          <w:tcPr>
            <w:tcW w:w="1319" w:type="dxa"/>
            <w:noWrap w:val="0"/>
            <w:vAlign w:val="center"/>
          </w:tcPr>
          <w:p>
            <w:pPr>
              <w:widowControl/>
              <w:spacing w:beforeLines="0" w:afterLines="0"/>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招标控制在预算内</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w:t>
            </w:r>
            <w:r>
              <w:rPr>
                <w:rFonts w:hint="eastAsia" w:ascii="仿宋_GB2312" w:hAnsi="宋体" w:eastAsia="仿宋_GB2312" w:cs="Times New Roman"/>
                <w:color w:val="auto"/>
                <w:kern w:val="0"/>
                <w:sz w:val="21"/>
                <w:szCs w:val="21"/>
                <w:lang w:val="en-US" w:eastAsia="zh-CN"/>
              </w:rPr>
              <w:t>40</w:t>
            </w:r>
            <w:r>
              <w:rPr>
                <w:rFonts w:hint="eastAsia" w:ascii="仿宋_GB2312" w:hAnsi="宋体" w:eastAsia="仿宋_GB2312" w:cs="Times New Roman"/>
                <w:color w:val="auto"/>
                <w:kern w:val="0"/>
                <w:sz w:val="21"/>
                <w:szCs w:val="21"/>
              </w:rPr>
              <w:t>万</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w:t>
            </w:r>
            <w:r>
              <w:rPr>
                <w:rFonts w:hint="eastAsia" w:ascii="仿宋_GB2312" w:hAnsi="宋体" w:eastAsia="仿宋_GB2312" w:cs="Times New Roman"/>
                <w:color w:val="auto"/>
                <w:kern w:val="0"/>
                <w:sz w:val="21"/>
                <w:szCs w:val="21"/>
                <w:lang w:val="en-US" w:eastAsia="zh-CN"/>
              </w:rPr>
              <w:t>40</w:t>
            </w:r>
            <w:r>
              <w:rPr>
                <w:rFonts w:hint="eastAsia" w:ascii="仿宋_GB2312" w:hAnsi="宋体" w:eastAsia="仿宋_GB2312" w:cs="Times New Roman"/>
                <w:color w:val="auto"/>
                <w:kern w:val="0"/>
                <w:sz w:val="21"/>
                <w:szCs w:val="21"/>
              </w:rPr>
              <w:t>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减少企业负担</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40</w:t>
            </w:r>
            <w:r>
              <w:rPr>
                <w:rFonts w:hint="eastAsia" w:ascii="仿宋_GB2312" w:hAnsi="宋体" w:eastAsia="仿宋_GB2312" w:cs="仿宋_GB2312"/>
                <w:color w:val="auto"/>
                <w:kern w:val="0"/>
                <w:sz w:val="21"/>
                <w:szCs w:val="21"/>
              </w:rPr>
              <w:t>万元/年</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olor w:val="auto"/>
                <w:kern w:val="0"/>
                <w:lang w:val="en-US" w:eastAsia="zh-CN"/>
              </w:rPr>
              <w:t>29.38万元/年</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widowControl/>
              <w:snapToGrid w:val="0"/>
              <w:spacing w:line="520" w:lineRule="exact"/>
              <w:jc w:val="center"/>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办事企业“好差评”满意度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w:t>
            </w:r>
            <w:r>
              <w:rPr>
                <w:rFonts w:hint="eastAsia" w:ascii="仿宋_GB2312" w:hAnsi="宋体" w:eastAsia="仿宋_GB2312" w:cs="仿宋_GB2312"/>
                <w:color w:val="auto"/>
                <w:kern w:val="0"/>
                <w:sz w:val="21"/>
                <w:szCs w:val="21"/>
                <w:lang w:val="en-US" w:eastAsia="zh-CN"/>
              </w:rPr>
              <w:t>5</w:t>
            </w:r>
            <w:r>
              <w:rPr>
                <w:rFonts w:hint="eastAsia" w:ascii="仿宋_GB2312" w:hAnsi="宋体" w:eastAsia="仿宋_GB2312" w:cs="仿宋_GB2312"/>
                <w:color w:val="auto"/>
                <w:kern w:val="0"/>
                <w:sz w:val="21"/>
                <w:szCs w:val="21"/>
              </w:rPr>
              <w:t>%</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numPr>
                <w:ilvl w:val="0"/>
                <w:numId w:val="1"/>
              </w:numPr>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询价采购启动时间较晚。我局2021年5月才启动本项目询价采购手续，6月中旬才正式签订合同，实际执行合同时间只有6个月，而本项目申报实施时间为12个月；2.疫情致使建设项目减少。我局预期2021年较2020年办理审批的建设项目会有30%的增长，但受疫情影响，2021年办理审批的建设项目与2020年基本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1.加快项目采购手续。及早启动政府项目采购手续，积极向局党组汇报相关工作，督促责任科室及时启动项目采购手续；2.加强经济形势的研判，结合本地发展实际，合理预定年度预算投资计划。</w:t>
            </w:r>
          </w:p>
        </w:tc>
      </w:tr>
    </w:tbl>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p>
    <w:p>
      <w:pPr>
        <w:ind w:firstLine="64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河湖库长制工作经费项目绩效自评综述：项目全年预算数为</w:t>
      </w:r>
      <w:r>
        <w:rPr>
          <w:rFonts w:hint="eastAsia" w:ascii="仿宋_GB2312" w:hAnsi="仿宋_GB2312" w:eastAsia="仿宋_GB2312" w:cs="仿宋_GB2312"/>
          <w:color w:val="auto"/>
          <w:kern w:val="0"/>
          <w:sz w:val="32"/>
          <w:szCs w:val="32"/>
          <w:lang w:val="en-US" w:eastAsia="zh-CN"/>
        </w:rPr>
        <w:t>150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136.64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91%</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河湖长制规范化管理河湖数量</w:t>
      </w:r>
      <w:r>
        <w:rPr>
          <w:rFonts w:hint="eastAsia" w:ascii="仿宋_GB2312" w:hAnsi="仿宋_GB2312" w:eastAsia="仿宋_GB2312" w:cs="仿宋_GB2312"/>
          <w:color w:val="auto"/>
          <w:kern w:val="0"/>
          <w:sz w:val="32"/>
          <w:szCs w:val="32"/>
          <w:lang w:val="en-US" w:eastAsia="zh-CN"/>
        </w:rPr>
        <w:t>16条</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eastAsia="zh-CN"/>
        </w:rPr>
        <w:t>市级河湖水质月报</w:t>
      </w:r>
      <w:r>
        <w:rPr>
          <w:rFonts w:hint="eastAsia" w:ascii="仿宋_GB2312" w:hAnsi="仿宋_GB2312" w:eastAsia="仿宋_GB2312" w:cs="仿宋_GB2312"/>
          <w:color w:val="auto"/>
          <w:kern w:val="0"/>
          <w:sz w:val="32"/>
          <w:szCs w:val="32"/>
          <w:lang w:val="en-US" w:eastAsia="zh-CN"/>
        </w:rPr>
        <w:t>12批次；三是</w:t>
      </w:r>
      <w:r>
        <w:rPr>
          <w:rFonts w:hint="eastAsia" w:ascii="仿宋_GB2312" w:hAnsi="仿宋_GB2312" w:eastAsia="仿宋_GB2312" w:cs="仿宋_GB2312"/>
          <w:color w:val="auto"/>
          <w:kern w:val="0"/>
          <w:sz w:val="32"/>
          <w:szCs w:val="32"/>
        </w:rPr>
        <w:t>市级河湖长履职达标率</w:t>
      </w:r>
    </w:p>
    <w:p>
      <w:pPr>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；四是社会各界保护河湖的责任意识和参与意识不断增强。发现的问题及原因：绩效目标执行无偏差。下一步改进措施：无。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年度河湖库长制工作经费项目绩效自评表》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年度河湖库长制工作经费项目绩效自评表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河湖库长制工作经费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136.64</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91.09</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河湖长制规范化管理河湖数量</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16</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val="en-US" w:eastAsia="zh-CN"/>
              </w:rPr>
              <w:t>16</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河湖长制联席会议</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2</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2</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市级河湖水质月报</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12批次</w:t>
            </w:r>
            <w:r>
              <w:rPr>
                <w:rFonts w:hint="eastAsia" w:ascii="仿宋_GB2312" w:hAnsi="宋体" w:eastAsia="仿宋_GB2312" w:cs="仿宋_GB2312"/>
                <w:color w:val="auto"/>
                <w:kern w:val="0"/>
                <w:sz w:val="21"/>
                <w:szCs w:val="21"/>
                <w:lang w:eastAsia="zh-CN"/>
              </w:rPr>
              <w:t>　</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12批次</w:t>
            </w:r>
            <w:r>
              <w:rPr>
                <w:rFonts w:hint="eastAsia" w:ascii="仿宋_GB2312" w:hAnsi="宋体" w:eastAsia="仿宋_GB2312" w:cs="仿宋_GB2312"/>
                <w:color w:val="auto"/>
                <w:kern w:val="0"/>
                <w:sz w:val="21"/>
                <w:szCs w:val="21"/>
                <w:lang w:eastAsia="zh-CN"/>
              </w:rPr>
              <w:t>　</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河湖长制工作培训</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1次</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1次</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全市划界确权复核通过率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≥90%</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市级河湖长履职达标率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≥95%</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≥95%</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示范河湖、健康河湖宣传及评估</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完成省定目标</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完成省定目标</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河湖长制工作考核</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通过省级考核</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通过省级考核</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河湖长制工作机制运行良好</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确保年度工作顺利完成</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确保年度工作顺利完成</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河湖长制宣传</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全年开展宣传</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全年开展宣传</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社会效益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社会各界保护河湖的责任意识和参与意识</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不断增强</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不断增强</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sz w:val="21"/>
                <w:szCs w:val="21"/>
              </w:rPr>
              <w:t>河</w:t>
            </w:r>
            <w:r>
              <w:rPr>
                <w:rFonts w:hint="eastAsia" w:ascii="仿宋_GB2312" w:hAnsi="宋体" w:eastAsia="仿宋_GB2312" w:cs="仿宋_GB2312"/>
                <w:color w:val="auto"/>
                <w:kern w:val="0"/>
                <w:sz w:val="21"/>
                <w:szCs w:val="21"/>
                <w:lang w:eastAsia="zh-CN"/>
              </w:rPr>
              <w:t>湖面貌</w:t>
            </w: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Times New Roman"/>
                <w:color w:val="auto"/>
                <w:kern w:val="0"/>
                <w:sz w:val="21"/>
                <w:szCs w:val="21"/>
                <w:lang w:eastAsia="zh-CN"/>
              </w:rPr>
              <w:t>改善</w:t>
            </w: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Times New Roman"/>
                <w:color w:val="auto"/>
                <w:kern w:val="0"/>
                <w:sz w:val="21"/>
                <w:szCs w:val="21"/>
                <w:lang w:eastAsia="zh-CN"/>
              </w:rPr>
              <w:t>改善</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受益群众满意度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ind w:firstLine="640"/>
        <w:jc w:val="center"/>
        <w:rPr>
          <w:rFonts w:hint="eastAsia" w:ascii="仿宋_GB2312" w:hAnsi="仿宋_GB2312" w:eastAsia="仿宋_GB2312" w:cs="仿宋_GB2312"/>
          <w:color w:val="auto"/>
          <w:kern w:val="0"/>
          <w:sz w:val="32"/>
          <w:szCs w:val="32"/>
        </w:rPr>
      </w:pPr>
    </w:p>
    <w:p>
      <w:pPr>
        <w:ind w:firstLine="640" w:firstLineChars="200"/>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lang w:val="en-US" w:eastAsia="zh-CN"/>
        </w:rPr>
        <w:t>农田灌溉节水奖励</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农田灌溉水有效利用系数结果≤</w:t>
      </w:r>
      <w:r>
        <w:rPr>
          <w:rFonts w:hint="eastAsia" w:ascii="仿宋_GB2312" w:hAnsi="仿宋_GB2312" w:eastAsia="仿宋_GB2312" w:cs="仿宋_GB2312"/>
          <w:color w:val="auto"/>
          <w:kern w:val="0"/>
          <w:sz w:val="32"/>
          <w:szCs w:val="32"/>
          <w:lang w:val="en-US" w:eastAsia="zh-CN"/>
        </w:rPr>
        <w:t>0.53</w:t>
      </w:r>
      <w:r>
        <w:rPr>
          <w:rFonts w:hint="eastAsia" w:ascii="仿宋_GB2312" w:hAnsi="仿宋_GB2312" w:eastAsia="仿宋_GB2312" w:cs="仿宋_GB2312"/>
          <w:color w:val="auto"/>
          <w:kern w:val="0"/>
          <w:sz w:val="32"/>
          <w:szCs w:val="32"/>
        </w:rPr>
        <w:t>；二是农田灌溉水有效系数测算</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专家审查</w:t>
      </w:r>
      <w:r>
        <w:rPr>
          <w:rFonts w:hint="eastAsia" w:ascii="仿宋_GB2312" w:hAnsi="仿宋_GB2312" w:eastAsia="仿宋_GB2312" w:cs="仿宋_GB2312"/>
          <w:color w:val="auto"/>
          <w:kern w:val="0"/>
          <w:sz w:val="32"/>
          <w:szCs w:val="32"/>
          <w:lang w:val="en-US" w:eastAsia="zh-CN"/>
        </w:rPr>
        <w:t>；三是</w:t>
      </w:r>
      <w:r>
        <w:rPr>
          <w:rFonts w:hint="eastAsia" w:ascii="仿宋_GB2312" w:hAnsi="仿宋_GB2312" w:eastAsia="仿宋_GB2312" w:cs="仿宋_GB2312"/>
          <w:color w:val="auto"/>
          <w:kern w:val="0"/>
          <w:sz w:val="32"/>
          <w:szCs w:val="32"/>
          <w:lang w:eastAsia="zh-CN"/>
        </w:rPr>
        <w:t>群众满意</w:t>
      </w:r>
      <w:r>
        <w:rPr>
          <w:rFonts w:hint="eastAsia" w:ascii="仿宋_GB2312" w:hAnsi="仿宋_GB2312" w:eastAsia="仿宋_GB2312" w:cs="仿宋_GB2312"/>
          <w:color w:val="auto"/>
          <w:kern w:val="0"/>
          <w:sz w:val="32"/>
          <w:szCs w:val="32"/>
        </w:rPr>
        <w:t>率≥</w:t>
      </w:r>
      <w:r>
        <w:rPr>
          <w:rFonts w:hint="eastAsia" w:ascii="仿宋_GB2312" w:hAnsi="仿宋_GB2312"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rPr>
        <w:t>全市水土保持公报</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专家审查</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农田灌溉节水奖励</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val="en-US" w:eastAsia="zh-CN"/>
        </w:rPr>
        <w:t>农田灌溉节水奖励</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农田灌溉节水奖励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样点灌区数量</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Times New Roman"/>
                <w:color w:val="auto"/>
                <w:kern w:val="0"/>
                <w:sz w:val="21"/>
                <w:szCs w:val="21"/>
                <w:lang w:val="en-US" w:eastAsia="zh-CN"/>
              </w:rPr>
              <w:t>20</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cs="Times New Roman"/>
                <w:color w:val="auto"/>
                <w:kern w:val="0"/>
                <w:sz w:val="21"/>
                <w:szCs w:val="21"/>
                <w:lang w:val="en-US" w:eastAsia="zh-CN"/>
              </w:rPr>
              <w:t>20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典型田块数量</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78</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78</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水土流失治理面积（平方公里）</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109.4</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109.4</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农田灌溉水有效系数测算专家审查</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全市水土保持公报专家审查</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eastAsia="zh-CN"/>
              </w:rPr>
              <w:t>时效</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完成时间</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年底</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年底</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预算控制</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Times New Roman"/>
                <w:color w:val="auto"/>
                <w:kern w:val="0"/>
                <w:sz w:val="21"/>
                <w:szCs w:val="21"/>
                <w:lang w:val="en-US" w:eastAsia="zh-CN"/>
              </w:rPr>
              <w:t>20万元</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lang w:val="en-US" w:eastAsia="zh-CN"/>
              </w:rPr>
              <w:t>20万元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农田灌溉水有效利用系数结果</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eastAsia="zh-CN"/>
              </w:rPr>
              <w:t>≤</w:t>
            </w:r>
            <w:r>
              <w:rPr>
                <w:rFonts w:hint="eastAsia" w:ascii="仿宋_GB2312" w:hAnsi="宋体" w:eastAsia="仿宋_GB2312" w:cs="Times New Roman"/>
                <w:color w:val="auto"/>
                <w:kern w:val="0"/>
                <w:sz w:val="21"/>
                <w:szCs w:val="21"/>
                <w:lang w:val="en-US" w:eastAsia="zh-CN"/>
              </w:rPr>
              <w:t>0.53</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val="en-US" w:eastAsia="zh-CN"/>
              </w:rPr>
              <w:t>0.524</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典型田块群众满意率</w:t>
            </w:r>
          </w:p>
        </w:tc>
        <w:tc>
          <w:tcPr>
            <w:tcW w:w="1466" w:type="dxa"/>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1319" w:type="dxa"/>
            <w:noWrap w:val="0"/>
            <w:vAlign w:val="center"/>
          </w:tcPr>
          <w:p>
            <w:pPr>
              <w:widowControl/>
              <w:spacing w:beforeLines="0" w:afterLines="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ascii="仿宋_GB2312" w:hAnsi="宋体" w:eastAsia="仿宋_GB2312"/>
                <w:color w:val="auto"/>
                <w:kern w:val="0"/>
              </w:rPr>
            </w:pPr>
            <w:r>
              <w:rPr>
                <w:rFonts w:hint="eastAsia" w:ascii="仿宋_GB2312" w:hAnsi="宋体" w:eastAsia="仿宋_GB2312" w:cs="仿宋_GB2312"/>
                <w:color w:val="auto"/>
                <w:kern w:val="0"/>
                <w:sz w:val="21"/>
                <w:szCs w:val="21"/>
              </w:rPr>
              <w:t>水土保持服务对象满意率</w:t>
            </w:r>
          </w:p>
        </w:tc>
        <w:tc>
          <w:tcPr>
            <w:tcW w:w="1466" w:type="dxa"/>
            <w:noWrap w:val="0"/>
            <w:vAlign w:val="center"/>
          </w:tcPr>
          <w:p>
            <w:pPr>
              <w:widowControl/>
              <w:spacing w:beforeLines="0" w:afterLines="0"/>
              <w:jc w:val="left"/>
              <w:rPr>
                <w:rFonts w:ascii="仿宋_GB2312" w:hAnsi="宋体" w:eastAsia="仿宋_GB2312"/>
                <w:color w:val="auto"/>
                <w:kern w:val="0"/>
              </w:rPr>
            </w:pPr>
            <w:r>
              <w:rPr>
                <w:rFonts w:hint="eastAsia" w:ascii="仿宋_GB2312" w:hAnsi="宋体" w:cs="仿宋_GB2312"/>
                <w:color w:val="auto"/>
                <w:kern w:val="0"/>
                <w:sz w:val="21"/>
                <w:szCs w:val="21"/>
                <w:lang w:val="en-US" w:eastAsia="zh-CN"/>
              </w:rPr>
              <w:t>100%</w:t>
            </w:r>
          </w:p>
        </w:tc>
        <w:tc>
          <w:tcPr>
            <w:tcW w:w="1319" w:type="dxa"/>
            <w:noWrap w:val="0"/>
            <w:vAlign w:val="center"/>
          </w:tcPr>
          <w:p>
            <w:pPr>
              <w:widowControl/>
              <w:spacing w:beforeLines="0" w:afterLines="0"/>
              <w:jc w:val="left"/>
              <w:rPr>
                <w:rFonts w:ascii="仿宋_GB2312" w:hAnsi="宋体" w:eastAsia="仿宋_GB2312"/>
                <w:color w:val="auto"/>
                <w:kern w:val="0"/>
              </w:rPr>
            </w:pPr>
            <w:r>
              <w:rPr>
                <w:rFonts w:hint="eastAsia" w:ascii="仿宋_GB2312" w:hAnsi="宋体" w:cs="仿宋_GB2312"/>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ind w:firstLine="640" w:firstLineChars="200"/>
        <w:jc w:val="both"/>
        <w:rPr>
          <w:rFonts w:hint="eastAsia" w:ascii="仿宋_GB2312" w:hAnsi="仿宋_GB2312" w:eastAsia="仿宋_GB2312" w:cs="仿宋_GB2312"/>
          <w:color w:val="auto"/>
          <w:kern w:val="0"/>
          <w:sz w:val="32"/>
          <w:szCs w:val="32"/>
          <w:lang w:val="en-US" w:eastAsia="zh-CN"/>
        </w:rPr>
      </w:pPr>
    </w:p>
    <w:p>
      <w:pPr>
        <w:widowControl/>
        <w:spacing w:beforeLines="0" w:afterLines="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水旱灾害防御工作经费项目绩效自评综述：项目全年预算数为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防汛值班</w:t>
      </w:r>
      <w:r>
        <w:rPr>
          <w:rFonts w:hint="eastAsia" w:ascii="仿宋_GB2312" w:hAnsi="仿宋_GB2312" w:eastAsia="仿宋_GB2312" w:cs="仿宋_GB2312"/>
          <w:color w:val="auto"/>
          <w:kern w:val="0"/>
          <w:sz w:val="32"/>
          <w:szCs w:val="32"/>
          <w:lang w:val="en-US" w:eastAsia="zh-CN"/>
        </w:rPr>
        <w:t>173天</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eastAsia="zh-CN"/>
        </w:rPr>
        <w:t>防汛会商大于</w:t>
      </w:r>
      <w:r>
        <w:rPr>
          <w:rFonts w:hint="eastAsia" w:ascii="仿宋_GB2312" w:hAnsi="仿宋_GB2312" w:eastAsia="仿宋_GB2312" w:cs="仿宋_GB2312"/>
          <w:color w:val="auto"/>
          <w:kern w:val="0"/>
          <w:sz w:val="32"/>
          <w:szCs w:val="32"/>
          <w:lang w:val="en-US" w:eastAsia="zh-CN"/>
        </w:rPr>
        <w:t>12次；三是</w:t>
      </w:r>
      <w:r>
        <w:rPr>
          <w:rFonts w:hint="eastAsia" w:ascii="仿宋_GB2312" w:hAnsi="仿宋_GB2312" w:eastAsia="仿宋_GB2312" w:cs="仿宋_GB2312"/>
          <w:color w:val="auto"/>
          <w:kern w:val="0"/>
          <w:sz w:val="32"/>
          <w:szCs w:val="32"/>
          <w:lang w:eastAsia="zh-CN"/>
        </w:rPr>
        <w:t>山洪测站到报率及水文、气象预报准确率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；四是标</w:t>
      </w:r>
    </w:p>
    <w:p>
      <w:pPr>
        <w:widowControl/>
        <w:spacing w:beforeLines="0" w:afterLines="0"/>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lang w:eastAsia="zh-CN"/>
        </w:rPr>
        <w:t>准洪水内四不一无。发现的问题及原因：绩效目标执行无偏差。下一步改进措施：无。</w:t>
      </w:r>
    </w:p>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年度水旱灾害防御工作经费项目绩效自评表》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年度水旱灾害防御工作经费项目绩效自评表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水旱灾害防御工作经费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防汛值班</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165天</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cs="Times New Roman"/>
                <w:color w:val="auto"/>
                <w:kern w:val="0"/>
                <w:sz w:val="21"/>
                <w:szCs w:val="21"/>
                <w:lang w:val="en-US" w:eastAsia="zh-CN"/>
              </w:rPr>
              <w:t>173天</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防汛会商会议</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Times New Roman"/>
                <w:color w:val="auto"/>
                <w:kern w:val="0"/>
                <w:sz w:val="21"/>
                <w:szCs w:val="21"/>
                <w:lang w:val="en-US" w:eastAsia="zh-CN" w:bidi="ar-SA"/>
              </w:rPr>
              <w:t>≥10次</w:t>
            </w:r>
          </w:p>
        </w:tc>
        <w:tc>
          <w:tcPr>
            <w:tcW w:w="1319" w:type="dxa"/>
            <w:noWrap w:val="0"/>
            <w:vAlign w:val="center"/>
          </w:tcPr>
          <w:p>
            <w:pPr>
              <w:widowControl/>
              <w:spacing w:beforeLines="0" w:afterLines="0"/>
              <w:jc w:val="center"/>
              <w:rPr>
                <w:rFonts w:hint="default" w:ascii="仿宋_GB2312" w:hAnsi="宋体" w:eastAsia="仿宋_GB2312"/>
                <w:color w:val="auto"/>
                <w:kern w:val="0"/>
                <w:lang w:val="en-US"/>
              </w:rPr>
            </w:pPr>
            <w:r>
              <w:rPr>
                <w:rFonts w:hint="eastAsia" w:ascii="仿宋_GB2312" w:hAnsi="宋体" w:cs="仿宋_GB2312"/>
                <w:color w:val="auto"/>
                <w:kern w:val="0"/>
                <w:sz w:val="21"/>
                <w:szCs w:val="21"/>
                <w:lang w:val="en-US" w:eastAsia="zh-CN"/>
              </w:rPr>
              <w:t>12次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水工程调度</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bidi="ar-SA"/>
              </w:rPr>
              <w:t>≥10次</w:t>
            </w:r>
          </w:p>
        </w:tc>
        <w:tc>
          <w:tcPr>
            <w:tcW w:w="1319"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10次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山洪测站到报率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水文、气象预报准确率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98%</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防汛值班值守办公费</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控制在预算内</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年底</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指挥部工作经费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控制在预算内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lang w:val="en-US" w:eastAsia="zh-CN"/>
              </w:rPr>
              <w:t>20万元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减少群众因灾经济损失</w:t>
            </w:r>
          </w:p>
        </w:tc>
        <w:tc>
          <w:tcPr>
            <w:tcW w:w="1466" w:type="dxa"/>
            <w:noWrap w:val="0"/>
            <w:vAlign w:val="center"/>
          </w:tcPr>
          <w:p>
            <w:pPr>
              <w:widowControl/>
              <w:snapToGrid w:val="0"/>
              <w:spacing w:line="520" w:lineRule="exact"/>
              <w:jc w:val="center"/>
              <w:rPr>
                <w:rFonts w:hint="eastAsia" w:ascii="仿宋_GB2312" w:hAnsi="宋体" w:eastAsia="仿宋_GB2312" w:cs="Times New Roman"/>
                <w:color w:val="auto"/>
                <w:kern w:val="0"/>
                <w:sz w:val="21"/>
                <w:szCs w:val="21"/>
                <w:lang w:eastAsia="zh-CN"/>
              </w:rPr>
            </w:pPr>
            <w:r>
              <w:rPr>
                <w:rFonts w:hint="eastAsia" w:ascii="仿宋_GB2312" w:hAnsi="宋体" w:eastAsia="仿宋_GB2312" w:cs="Times New Roman"/>
                <w:color w:val="auto"/>
                <w:kern w:val="0"/>
                <w:sz w:val="21"/>
                <w:szCs w:val="21"/>
                <w:lang w:eastAsia="zh-CN"/>
              </w:rPr>
              <w:t>优</w:t>
            </w:r>
          </w:p>
        </w:tc>
        <w:tc>
          <w:tcPr>
            <w:tcW w:w="1319" w:type="dxa"/>
            <w:noWrap w:val="0"/>
            <w:vAlign w:val="center"/>
          </w:tcPr>
          <w:p>
            <w:pPr>
              <w:widowControl/>
              <w:snapToGrid w:val="0"/>
              <w:spacing w:line="520" w:lineRule="exact"/>
              <w:jc w:val="center"/>
              <w:rPr>
                <w:rFonts w:hint="eastAsia" w:ascii="仿宋_GB2312" w:hAnsi="宋体" w:eastAsia="仿宋_GB2312" w:cs="Times New Roman"/>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优</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标准洪水内</w:t>
            </w:r>
          </w:p>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四不一无　</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val="en-US" w:eastAsia="zh-CN"/>
              </w:rPr>
              <w:t>0</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val="en-US" w:eastAsia="zh-CN"/>
              </w:rPr>
              <w:t>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eastAsia="zh-CN"/>
              </w:rPr>
              <w:t>群众满意度</w:t>
            </w:r>
          </w:p>
        </w:tc>
        <w:tc>
          <w:tcPr>
            <w:tcW w:w="1466"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≥85</w:t>
            </w:r>
            <w:r>
              <w:rPr>
                <w:rFonts w:hint="eastAsia" w:ascii="仿宋_GB2312" w:hAnsi="宋体" w:eastAsia="仿宋_GB2312" w:cs="仿宋_GB2312"/>
                <w:color w:val="auto"/>
                <w:kern w:val="0"/>
                <w:sz w:val="21"/>
                <w:szCs w:val="21"/>
              </w:rPr>
              <w:t>%</w:t>
            </w:r>
          </w:p>
        </w:tc>
        <w:tc>
          <w:tcPr>
            <w:tcW w:w="1319"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jc w:val="center"/>
        <w:rPr>
          <w:rFonts w:hint="eastAsia" w:ascii="仿宋_GB2312" w:hAnsi="仿宋_GB2312" w:eastAsia="仿宋_GB2312" w:cs="仿宋_GB2312"/>
          <w:color w:val="auto"/>
          <w:kern w:val="0"/>
          <w:sz w:val="32"/>
          <w:szCs w:val="32"/>
        </w:rPr>
      </w:pPr>
    </w:p>
    <w:p>
      <w:pPr>
        <w:ind w:firstLine="64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水利工程建设管理和工程质量、安全监管</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2.07</w:t>
      </w:r>
      <w:r>
        <w:rPr>
          <w:rFonts w:hint="eastAsia" w:ascii="仿宋_GB2312" w:hAnsi="仿宋_GB2312" w:eastAsia="仿宋_GB2312" w:cs="仿宋_GB2312"/>
          <w:color w:val="auto"/>
          <w:kern w:val="0"/>
          <w:sz w:val="32"/>
          <w:szCs w:val="32"/>
        </w:rPr>
        <w:t>万元，完成预算</w:t>
      </w:r>
      <w:r>
        <w:rPr>
          <w:rFonts w:hint="eastAsia" w:ascii="仿宋_GB2312" w:hAnsi="仿宋_GB2312" w:eastAsia="仿宋_GB2312" w:cs="仿宋_GB2312"/>
          <w:color w:val="auto"/>
          <w:kern w:val="0"/>
          <w:sz w:val="32"/>
          <w:szCs w:val="32"/>
          <w:lang w:val="en-US" w:eastAsia="zh-CN"/>
        </w:rPr>
        <w:t>0.6</w:t>
      </w:r>
      <w:r>
        <w:rPr>
          <w:rFonts w:hint="eastAsia" w:ascii="仿宋_GB2312" w:hAnsi="仿宋_GB2312" w:eastAsia="仿宋_GB2312" w:cs="仿宋_GB2312"/>
          <w:color w:val="auto"/>
          <w:kern w:val="0"/>
          <w:sz w:val="32"/>
          <w:szCs w:val="32"/>
        </w:rPr>
        <w:t>%。主要产出和效益：一是完成</w:t>
      </w:r>
      <w:r>
        <w:rPr>
          <w:rFonts w:hint="eastAsia" w:ascii="仿宋_GB2312" w:hAnsi="仿宋_GB2312" w:eastAsia="仿宋_GB2312" w:cs="仿宋_GB2312"/>
          <w:color w:val="auto"/>
          <w:kern w:val="0"/>
          <w:sz w:val="32"/>
          <w:szCs w:val="32"/>
          <w:lang w:eastAsia="zh-CN"/>
        </w:rPr>
        <w:t>水利工程质量飞检</w:t>
      </w:r>
      <w:r>
        <w:rPr>
          <w:rFonts w:hint="eastAsia" w:ascii="仿宋_GB2312" w:hAnsi="仿宋_GB2312" w:eastAsia="仿宋_GB2312" w:cs="仿宋_GB2312"/>
          <w:color w:val="auto"/>
          <w:kern w:val="0"/>
          <w:sz w:val="32"/>
          <w:szCs w:val="32"/>
          <w:lang w:val="en-US" w:eastAsia="zh-CN"/>
        </w:rPr>
        <w:t>35批次</w:t>
      </w:r>
      <w:r>
        <w:rPr>
          <w:rFonts w:hint="eastAsia" w:ascii="仿宋_GB2312" w:hAnsi="仿宋_GB2312" w:eastAsia="仿宋_GB2312" w:cs="仿宋_GB2312"/>
          <w:color w:val="auto"/>
          <w:kern w:val="0"/>
          <w:sz w:val="32"/>
          <w:szCs w:val="32"/>
          <w:lang w:eastAsia="zh-CN"/>
        </w:rPr>
        <w:t>；二是水利工程政府一次性验收通过率≥90%；三是水利工程持续运转良好。发现的问题及原因：项目执行率低，原因为：项目跨年度实施</w:t>
      </w:r>
      <w:r>
        <w:rPr>
          <w:rFonts w:hint="eastAsia" w:ascii="仿宋_GB2312" w:hAnsi="仿宋_GB2312" w:eastAsia="仿宋_GB2312" w:cs="仿宋_GB2312"/>
          <w:color w:val="auto"/>
          <w:kern w:val="0"/>
          <w:sz w:val="32"/>
          <w:szCs w:val="32"/>
          <w:lang w:val="en-US" w:eastAsia="zh-CN"/>
        </w:rPr>
        <w:t>，已聘请第三方机构进行35批次水利工程飞检，但飞检结果未及时反馈，故未支付第三方飞检费用27.98万元，将于2022年完成支付。</w:t>
      </w:r>
      <w:r>
        <w:rPr>
          <w:rFonts w:hint="eastAsia" w:ascii="仿宋_GB2312" w:hAnsi="仿宋_GB2312" w:eastAsia="仿宋_GB2312" w:cs="仿宋_GB2312"/>
          <w:color w:val="auto"/>
          <w:kern w:val="0"/>
          <w:sz w:val="32"/>
          <w:szCs w:val="32"/>
          <w:lang w:eastAsia="zh-CN"/>
        </w:rPr>
        <w:t>下一步改进措</w:t>
      </w:r>
    </w:p>
    <w:p>
      <w:pPr>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施：积极与第三方机构对接飞检结果，与对接结转资金使用，完成该项目支付。</w:t>
      </w:r>
    </w:p>
    <w:p>
      <w:pPr>
        <w:jc w:val="center"/>
        <w:rPr>
          <w:rFonts w:hint="eastAsia" w:ascii="仿宋_GB2312" w:hAnsi="仿宋_GB2312" w:eastAsia="仿宋_GB2312" w:cs="仿宋_GB2312"/>
          <w:color w:val="auto"/>
          <w:kern w:val="0"/>
          <w:sz w:val="32"/>
          <w:szCs w:val="32"/>
        </w:rPr>
      </w:pPr>
    </w:p>
    <w:p>
      <w:pPr>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水利工程建设管理和工程质量、安全监管</w:t>
      </w:r>
    </w:p>
    <w:p>
      <w:pPr>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水利工程建设管理和工程质量、安全监管</w:t>
      </w:r>
      <w:r>
        <w:rPr>
          <w:rFonts w:hint="eastAsia" w:ascii="方正小标宋简体" w:hAnsi="宋体" w:eastAsia="方正小标宋简体" w:cs="方正小标宋简体"/>
          <w:color w:val="auto"/>
          <w:sz w:val="36"/>
          <w:szCs w:val="36"/>
          <w:lang w:val="en-US" w:eastAsia="zh-CN"/>
        </w:rPr>
        <w:t xml:space="preserve">  </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水利工程建设管理和工程质量、安全监管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2.07</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0.6</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日常监督</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≥30次/年</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35次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质量飞检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35批次/年</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35批次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水利工程政府一次性验收通过率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省级飞检合格率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≥95%</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仿宋_GB2312"/>
                <w:color w:val="auto"/>
                <w:kern w:val="0"/>
                <w:sz w:val="21"/>
                <w:szCs w:val="21"/>
                <w:lang w:val="en-US" w:eastAsia="zh-CN"/>
              </w:rPr>
              <w:t>未出结果</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完成时限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2021年12月31日前</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仿宋_GB2312"/>
                <w:color w:val="auto"/>
                <w:kern w:val="0"/>
                <w:sz w:val="21"/>
                <w:szCs w:val="21"/>
                <w:lang w:val="en-US" w:eastAsia="zh-CN"/>
              </w:rPr>
              <w:t>2021年12月31日前</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预算控制</w:t>
            </w:r>
          </w:p>
        </w:tc>
        <w:tc>
          <w:tcPr>
            <w:tcW w:w="14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≤30万元</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30万元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水利工程安全建设</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良好</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无事故，良好</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水利工程持续运转　</w:t>
            </w:r>
          </w:p>
        </w:tc>
        <w:tc>
          <w:tcPr>
            <w:tcW w:w="14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eastAsia="zh-CN"/>
              </w:rPr>
              <w:t>良好</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eastAsia="zh-CN"/>
              </w:rPr>
              <w:t>无事故，良好</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服务对象满意度</w:t>
            </w:r>
          </w:p>
        </w:tc>
        <w:tc>
          <w:tcPr>
            <w:tcW w:w="1466"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≥90</w:t>
            </w:r>
            <w:r>
              <w:rPr>
                <w:rFonts w:hint="eastAsia" w:ascii="仿宋_GB2312" w:hAnsi="宋体" w:eastAsia="仿宋_GB2312" w:cs="仿宋_GB2312"/>
                <w:color w:val="auto"/>
                <w:kern w:val="0"/>
                <w:sz w:val="21"/>
                <w:szCs w:val="21"/>
              </w:rPr>
              <w:t>%</w:t>
            </w:r>
          </w:p>
        </w:tc>
        <w:tc>
          <w:tcPr>
            <w:tcW w:w="1319"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eastAsia="zh-CN"/>
              </w:rPr>
              <w:t>项目执行率低，原因为：项目跨年度实施</w:t>
            </w:r>
            <w:r>
              <w:rPr>
                <w:rFonts w:hint="eastAsia" w:ascii="仿宋_GB2312" w:hAnsi="宋体" w:eastAsia="仿宋_GB2312"/>
                <w:color w:val="auto"/>
                <w:kern w:val="0"/>
                <w:lang w:val="en-US" w:eastAsia="zh-CN"/>
              </w:rPr>
              <w:t>，已聘请第三方机构进行35批次水利工程飞检，但飞检结果未及时反馈，故未支付第三方飞检费用27.98万元，将于2022年完成支付。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积极与第三方机构对接飞检结果，与对接结转资金使用，完成该项目支付。</w:t>
            </w:r>
          </w:p>
        </w:tc>
      </w:tr>
    </w:tbl>
    <w:p>
      <w:pPr>
        <w:jc w:val="center"/>
        <w:rPr>
          <w:rFonts w:hint="eastAsia" w:ascii="仿宋_GB2312" w:hAnsi="仿宋_GB2312" w:eastAsia="仿宋_GB2312" w:cs="仿宋_GB2312"/>
          <w:color w:val="auto"/>
          <w:kern w:val="0"/>
          <w:sz w:val="32"/>
          <w:szCs w:val="32"/>
        </w:rPr>
      </w:pPr>
    </w:p>
    <w:p>
      <w:pPr>
        <w:pStyle w:val="2"/>
        <w:ind w:left="0" w:leftChars="0" w:firstLine="640" w:firstLineChars="200"/>
        <w:rPr>
          <w:rFonts w:hint="eastAsia"/>
        </w:rPr>
      </w:pPr>
      <w:r>
        <w:rPr>
          <w:rFonts w:hint="eastAsia" w:ascii="仿宋_GB2312" w:hAnsi="仿宋_GB2312" w:eastAsia="仿宋_GB2312" w:cs="仿宋_GB2312"/>
          <w:color w:val="auto"/>
          <w:kern w:val="0"/>
          <w:sz w:val="32"/>
          <w:szCs w:val="32"/>
          <w:lang w:val="en-US" w:eastAsia="zh-CN"/>
        </w:rPr>
        <w:t>水利行业管理与监督</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19.94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99.7%</w:t>
      </w:r>
      <w:r>
        <w:rPr>
          <w:rFonts w:hint="eastAsia" w:ascii="仿宋_GB2312" w:hAnsi="仿宋_GB2312" w:eastAsia="仿宋_GB2312" w:cs="仿宋_GB2312"/>
          <w:color w:val="auto"/>
          <w:kern w:val="0"/>
          <w:sz w:val="32"/>
          <w:szCs w:val="32"/>
        </w:rPr>
        <w:t>。主要产出和效益：一是督办检查</w:t>
      </w:r>
      <w:r>
        <w:rPr>
          <w:rFonts w:hint="eastAsia" w:ascii="仿宋_GB2312" w:hAnsi="仿宋_GB2312" w:eastAsia="仿宋_GB2312" w:cs="仿宋_GB2312"/>
          <w:color w:val="auto"/>
          <w:kern w:val="0"/>
          <w:sz w:val="32"/>
          <w:szCs w:val="32"/>
          <w:lang w:eastAsia="zh-CN"/>
        </w:rPr>
        <w:t>次数</w:t>
      </w:r>
      <w:r>
        <w:rPr>
          <w:rFonts w:hint="eastAsia" w:ascii="仿宋_GB2312" w:hAnsi="仿宋_GB2312" w:eastAsia="仿宋_GB2312" w:cs="仿宋_GB2312"/>
          <w:color w:val="auto"/>
          <w:kern w:val="0"/>
          <w:sz w:val="32"/>
          <w:szCs w:val="32"/>
          <w:lang w:val="en-US" w:eastAsia="zh-CN"/>
        </w:rPr>
        <w:t>95次</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val="en-US" w:eastAsia="zh-CN"/>
        </w:rPr>
        <w:t>督办覆盖区域六县市区；三是水利行业监管有力</w:t>
      </w:r>
      <w:r>
        <w:rPr>
          <w:rFonts w:hint="eastAsia" w:ascii="仿宋_GB2312" w:hAnsi="仿宋_GB2312" w:eastAsia="仿宋_GB2312" w:cs="仿宋_GB2312"/>
          <w:color w:val="auto"/>
          <w:kern w:val="0"/>
          <w:sz w:val="32"/>
          <w:szCs w:val="32"/>
          <w:lang w:eastAsia="zh-CN"/>
        </w:rPr>
        <w:t>；四是六</w:t>
      </w:r>
      <w:r>
        <w:rPr>
          <w:rFonts w:hint="eastAsia" w:ascii="仿宋_GB2312" w:hAnsi="仿宋_GB2312" w:eastAsia="仿宋_GB2312" w:cs="仿宋_GB2312"/>
          <w:color w:val="auto"/>
          <w:kern w:val="0"/>
          <w:sz w:val="32"/>
          <w:szCs w:val="32"/>
        </w:rPr>
        <w:t>县市区</w:t>
      </w:r>
      <w:r>
        <w:rPr>
          <w:rFonts w:hint="eastAsia" w:ascii="仿宋_GB2312" w:hAnsi="仿宋_GB2312" w:eastAsia="仿宋_GB2312" w:cs="仿宋_GB2312"/>
          <w:color w:val="auto"/>
          <w:kern w:val="0"/>
          <w:sz w:val="32"/>
          <w:szCs w:val="32"/>
          <w:lang w:eastAsia="zh-CN"/>
        </w:rPr>
        <w:t>水利</w:t>
      </w:r>
      <w:r>
        <w:rPr>
          <w:rFonts w:hint="eastAsia" w:ascii="仿宋_GB2312" w:hAnsi="仿宋_GB2312" w:eastAsia="仿宋_GB2312" w:cs="仿宋_GB2312"/>
          <w:color w:val="auto"/>
          <w:kern w:val="0"/>
          <w:sz w:val="32"/>
          <w:szCs w:val="32"/>
        </w:rPr>
        <w:t>相关工作</w:t>
      </w:r>
      <w:r>
        <w:rPr>
          <w:rFonts w:hint="eastAsia" w:ascii="仿宋_GB2312" w:hAnsi="仿宋_GB2312" w:eastAsia="仿宋_GB2312" w:cs="仿宋_GB2312"/>
          <w:color w:val="auto"/>
          <w:kern w:val="0"/>
          <w:sz w:val="32"/>
          <w:szCs w:val="32"/>
          <w:lang w:eastAsia="zh-CN"/>
        </w:rPr>
        <w:t>明显提升。发现的问题及原因：绩效目标执行无偏差。下一步改进措施：无。</w:t>
      </w:r>
    </w:p>
    <w:p>
      <w:pPr>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水利行业管理与监督</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val="en-US" w:eastAsia="zh-CN"/>
        </w:rPr>
        <w:t>水利行业管理与监督</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961"/>
        <w:gridCol w:w="358"/>
        <w:gridCol w:w="923"/>
        <w:gridCol w:w="652"/>
        <w:gridCol w:w="1383"/>
        <w:gridCol w:w="130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水利行业管理与监督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2035"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575"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383"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c>
          <w:tcPr>
            <w:tcW w:w="1575"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19.94</w:t>
            </w:r>
          </w:p>
        </w:tc>
        <w:tc>
          <w:tcPr>
            <w:tcW w:w="1383"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99.7%</w:t>
            </w:r>
          </w:p>
        </w:tc>
        <w:tc>
          <w:tcPr>
            <w:tcW w:w="2021"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7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督办检查</w:t>
            </w:r>
            <w:r>
              <w:rPr>
                <w:rFonts w:hint="eastAsia" w:ascii="仿宋_GB2312" w:hAnsi="宋体" w:cs="仿宋_GB2312"/>
                <w:color w:val="auto"/>
                <w:kern w:val="0"/>
                <w:sz w:val="21"/>
                <w:szCs w:val="21"/>
                <w:lang w:eastAsia="zh-CN"/>
              </w:rPr>
              <w:t>次数</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Times New Roman"/>
                <w:color w:val="auto"/>
                <w:kern w:val="0"/>
                <w:sz w:val="21"/>
                <w:szCs w:val="21"/>
              </w:rPr>
              <w:t>≥</w:t>
            </w:r>
            <w:r>
              <w:rPr>
                <w:rFonts w:hint="eastAsia" w:ascii="仿宋_GB2312" w:hAnsi="宋体" w:cs="Times New Roman"/>
                <w:color w:val="auto"/>
                <w:kern w:val="0"/>
                <w:sz w:val="21"/>
                <w:szCs w:val="21"/>
                <w:lang w:val="en-US" w:eastAsia="zh-CN"/>
              </w:rPr>
              <w:t>90</w:t>
            </w:r>
            <w:r>
              <w:rPr>
                <w:rFonts w:hint="eastAsia" w:ascii="仿宋_GB2312" w:hAnsi="宋体" w:cs="Times New Roman"/>
                <w:color w:val="auto"/>
                <w:kern w:val="0"/>
                <w:sz w:val="21"/>
                <w:szCs w:val="21"/>
                <w:lang w:eastAsia="zh-CN"/>
              </w:rPr>
              <w:t>次</w:t>
            </w:r>
            <w:r>
              <w:rPr>
                <w:rFonts w:hint="eastAsia" w:ascii="仿宋_GB2312" w:hAnsi="宋体" w:eastAsia="仿宋_GB2312" w:cs="仿宋_GB2312"/>
                <w:color w:val="auto"/>
                <w:kern w:val="0"/>
                <w:sz w:val="21"/>
                <w:szCs w:val="21"/>
              </w:rPr>
              <w:t>　</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95次</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eastAsia="zh-CN"/>
              </w:rPr>
              <w:t>六</w:t>
            </w:r>
            <w:r>
              <w:rPr>
                <w:rFonts w:hint="eastAsia" w:ascii="仿宋_GB2312" w:hAnsi="宋体" w:eastAsia="仿宋_GB2312" w:cs="仿宋_GB2312"/>
                <w:color w:val="auto"/>
                <w:kern w:val="0"/>
                <w:sz w:val="21"/>
                <w:szCs w:val="21"/>
              </w:rPr>
              <w:t>县市区</w:t>
            </w:r>
            <w:r>
              <w:rPr>
                <w:rFonts w:hint="eastAsia" w:ascii="仿宋_GB2312" w:hAnsi="宋体" w:cs="仿宋_GB2312"/>
                <w:color w:val="auto"/>
                <w:kern w:val="0"/>
                <w:sz w:val="21"/>
                <w:szCs w:val="21"/>
                <w:lang w:eastAsia="zh-CN"/>
              </w:rPr>
              <w:t>水利</w:t>
            </w:r>
            <w:r>
              <w:rPr>
                <w:rFonts w:hint="eastAsia" w:ascii="仿宋_GB2312" w:hAnsi="宋体" w:eastAsia="仿宋_GB2312" w:cs="仿宋_GB2312"/>
                <w:color w:val="auto"/>
                <w:kern w:val="0"/>
                <w:sz w:val="21"/>
                <w:szCs w:val="21"/>
              </w:rPr>
              <w:t>相关工作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default" w:ascii="仿宋_GB2312" w:hAnsi="宋体" w:eastAsia="仿宋_GB2312" w:cs="Times New Roman"/>
                <w:color w:val="auto"/>
                <w:kern w:val="0"/>
                <w:sz w:val="21"/>
                <w:szCs w:val="21"/>
                <w:lang w:val="en-US" w:eastAsia="zh-CN"/>
              </w:rPr>
              <w:t>明显提升</w:t>
            </w:r>
          </w:p>
        </w:tc>
        <w:tc>
          <w:tcPr>
            <w:tcW w:w="1300"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default" w:ascii="仿宋_GB2312" w:hAnsi="宋体" w:eastAsia="仿宋_GB2312" w:cs="Times New Roman"/>
                <w:color w:val="auto"/>
                <w:kern w:val="0"/>
                <w:sz w:val="21"/>
                <w:szCs w:val="21"/>
                <w:lang w:val="en-US" w:eastAsia="zh-CN"/>
              </w:rPr>
              <w:t>明显提升</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完成时限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当年</w:t>
            </w:r>
          </w:p>
        </w:tc>
        <w:tc>
          <w:tcPr>
            <w:tcW w:w="1300"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仿宋_GB2312"/>
                <w:color w:val="auto"/>
                <w:kern w:val="0"/>
                <w:sz w:val="21"/>
                <w:szCs w:val="21"/>
                <w:lang w:val="en-US" w:eastAsia="zh-CN"/>
              </w:rPr>
              <w:t>2021年12月31日前</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督办产生差旅费</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控制在规定内</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未超标</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车辆运行维护费</w:t>
            </w:r>
          </w:p>
        </w:tc>
        <w:tc>
          <w:tcPr>
            <w:tcW w:w="1383"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控制在规定内</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未超标</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社会效益指标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督办覆盖区域</w:t>
            </w:r>
          </w:p>
        </w:tc>
        <w:tc>
          <w:tcPr>
            <w:tcW w:w="1383"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六县市区</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olor w:val="auto"/>
                <w:kern w:val="0"/>
                <w:lang w:val="en-US" w:eastAsia="zh-CN"/>
              </w:rPr>
              <w:t>六县市区</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olor w:val="auto"/>
                <w:kern w:val="0"/>
                <w:lang w:val="en-US" w:eastAsia="zh-CN"/>
              </w:rPr>
              <w:t>社会效益指标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水利行业监管有力</w:t>
            </w:r>
          </w:p>
        </w:tc>
        <w:tc>
          <w:tcPr>
            <w:tcW w:w="1383"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监管有力</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olor w:val="auto"/>
                <w:kern w:val="0"/>
                <w:lang w:val="en-US" w:eastAsia="zh-CN"/>
              </w:rPr>
              <w:t>监管有力</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河湖环境改善</w:t>
            </w:r>
          </w:p>
        </w:tc>
        <w:tc>
          <w:tcPr>
            <w:tcW w:w="1383"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有所改善</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olor w:val="auto"/>
                <w:kern w:val="0"/>
                <w:lang w:val="en-US" w:eastAsia="zh-CN"/>
              </w:rPr>
              <w:t>有所改善</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2083"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水利工程正常运转</w:t>
            </w:r>
            <w:r>
              <w:rPr>
                <w:rFonts w:hint="eastAsia" w:ascii="仿宋_GB2312" w:hAnsi="宋体" w:cs="仿宋_GB2312"/>
                <w:color w:val="auto"/>
                <w:kern w:val="0"/>
                <w:sz w:val="21"/>
                <w:szCs w:val="21"/>
                <w:lang w:eastAsia="zh-CN"/>
              </w:rPr>
              <w:t>率</w:t>
            </w:r>
            <w:r>
              <w:rPr>
                <w:rFonts w:hint="eastAsia" w:ascii="仿宋_GB2312" w:hAnsi="宋体" w:eastAsia="仿宋_GB2312" w:cs="仿宋_GB2312"/>
                <w:color w:val="auto"/>
                <w:kern w:val="0"/>
                <w:sz w:val="21"/>
                <w:szCs w:val="21"/>
                <w:lang w:eastAsia="zh-CN"/>
              </w:rPr>
              <w:t>　</w:t>
            </w:r>
          </w:p>
        </w:tc>
        <w:tc>
          <w:tcPr>
            <w:tcW w:w="1383"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cs="仿宋_GB2312"/>
                <w:color w:val="auto"/>
                <w:kern w:val="0"/>
                <w:sz w:val="21"/>
                <w:szCs w:val="21"/>
                <w:lang w:eastAsia="zh-CN"/>
              </w:rPr>
              <w:t>≥</w:t>
            </w:r>
            <w:r>
              <w:rPr>
                <w:rFonts w:hint="eastAsia" w:ascii="仿宋_GB2312" w:hAnsi="宋体" w:cs="仿宋_GB2312"/>
                <w:color w:val="auto"/>
                <w:kern w:val="0"/>
                <w:sz w:val="21"/>
                <w:szCs w:val="21"/>
                <w:lang w:val="en-US" w:eastAsia="zh-CN"/>
              </w:rPr>
              <w:t>95%</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100%</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被督办对象满意度</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≥95%</w:t>
            </w:r>
          </w:p>
        </w:tc>
        <w:tc>
          <w:tcPr>
            <w:tcW w:w="1300"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p>
        </w:tc>
      </w:tr>
    </w:tbl>
    <w:p>
      <w:pPr>
        <w:pStyle w:val="2"/>
        <w:ind w:left="0" w:leftChars="0" w:firstLine="640" w:firstLineChars="200"/>
        <w:rPr>
          <w:rFonts w:hint="eastAsia" w:ascii="仿宋_GB2312" w:hAnsi="仿宋_GB2312" w:eastAsia="仿宋_GB2312" w:cs="仿宋_GB2312"/>
          <w:color w:val="auto"/>
          <w:kern w:val="0"/>
          <w:sz w:val="32"/>
          <w:szCs w:val="32"/>
          <w:lang w:val="en-US" w:eastAsia="zh-CN"/>
        </w:rPr>
      </w:pP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水利项目前期工作经费</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143</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105.48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73.76%</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编制</w:t>
      </w:r>
      <w:r>
        <w:rPr>
          <w:rFonts w:hint="eastAsia" w:ascii="仿宋_GB2312" w:hAnsi="仿宋_GB2312" w:eastAsia="仿宋_GB2312" w:cs="仿宋_GB2312"/>
          <w:color w:val="auto"/>
          <w:kern w:val="0"/>
          <w:sz w:val="32"/>
          <w:szCs w:val="32"/>
          <w:lang w:val="en-US" w:eastAsia="zh-CN"/>
        </w:rPr>
        <w:t>完成咸宁市“十四五”水安全保障规划；二是十四五规划编制费用控制在合同金额内；三是争取上级项目投资不低于全省平均水平。发现的问题及原因：1.产出指标未完成因为规划编制完成后未召开市政府常务会议，无法完成市政府审核并发布。2.执行率较低因为湖北省“荆楚安澜”省级水网规划纲要暂未印发，咸宁市现代水网规划编制工作暂未启动。下一步改进措施：待湖北省“荆楚安澜”省级水网规划纲印发后，积极同省水利厅及相关技术编制单位对接，尽快启动咸宁市现代水网规划编制工作。</w:t>
      </w:r>
    </w:p>
    <w:p>
      <w:pPr>
        <w:widowControl/>
        <w:jc w:val="left"/>
        <w:rPr>
          <w:rFonts w:hint="eastAsia" w:ascii="仿宋_GB2312" w:hAnsi="仿宋_GB2312" w:eastAsia="仿宋_GB2312" w:cs="仿宋_GB2312"/>
          <w:color w:val="auto"/>
          <w:kern w:val="0"/>
          <w:sz w:val="32"/>
          <w:szCs w:val="32"/>
          <w:lang w:val="en-US"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水利项目前期工作经费</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水利项目前期工作经费</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水利项目前期工作经费</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143</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105.48</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73.76</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咸宁市“十四五”水安全保障规划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编制完成</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Times New Roman"/>
                <w:color w:val="auto"/>
                <w:kern w:val="0"/>
                <w:sz w:val="21"/>
                <w:szCs w:val="21"/>
              </w:rPr>
              <w:t>编制完成</w:t>
            </w:r>
            <w:r>
              <w:rPr>
                <w:rFonts w:hint="eastAsia" w:ascii="仿宋_GB2312" w:hAnsi="宋体" w:eastAsia="仿宋_GB2312" w:cs="仿宋_GB2312"/>
                <w:color w:val="auto"/>
                <w:kern w:val="0"/>
                <w:sz w:val="21"/>
                <w:szCs w:val="21"/>
              </w:rPr>
              <w:t>　</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征求意见完成率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default" w:ascii="仿宋_GB2312" w:hAnsi="宋体" w:eastAsia="仿宋_GB2312" w:cs="Times New Roman"/>
                <w:color w:val="auto"/>
                <w:kern w:val="0"/>
                <w:sz w:val="21"/>
                <w:szCs w:val="21"/>
                <w:lang w:val="en-US" w:eastAsia="zh-CN"/>
              </w:rPr>
              <w:t>100%</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default" w:ascii="仿宋_GB2312" w:hAnsi="宋体" w:eastAsia="仿宋_GB2312" w:cs="Times New Roman"/>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咸宁市“十四五”水安全保障规划市政府常务会议审核通过率</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100%</w:t>
            </w:r>
          </w:p>
        </w:tc>
        <w:tc>
          <w:tcPr>
            <w:tcW w:w="1319" w:type="dxa"/>
            <w:noWrap w:val="0"/>
            <w:vAlign w:val="center"/>
          </w:tcPr>
          <w:p>
            <w:pPr>
              <w:widowControl/>
              <w:spacing w:beforeLines="0" w:afterLines="0"/>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待上会</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ind w:firstLine="420" w:firstLineChars="200"/>
              <w:jc w:val="both"/>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争取咸宁市“十四五”水安全保障规划2021年年底报市政府批复公布</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2021年12月31日前</w:t>
            </w: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政府常务会审查后批复公布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十四五规划编制费用控制在合同金额内</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w:t>
            </w:r>
            <w:r>
              <w:rPr>
                <w:rFonts w:hint="eastAsia" w:ascii="仿宋_GB2312" w:hAnsi="宋体" w:eastAsia="仿宋_GB2312" w:cs="Times New Roman"/>
                <w:color w:val="auto"/>
                <w:kern w:val="0"/>
                <w:sz w:val="21"/>
                <w:szCs w:val="21"/>
                <w:lang w:val="en-US" w:eastAsia="zh-CN"/>
              </w:rPr>
              <w:t>140</w:t>
            </w:r>
            <w:r>
              <w:rPr>
                <w:rFonts w:hint="eastAsia" w:ascii="仿宋_GB2312" w:hAnsi="宋体" w:eastAsia="仿宋_GB2312" w:cs="Times New Roman"/>
                <w:color w:val="auto"/>
                <w:kern w:val="0"/>
                <w:sz w:val="21"/>
                <w:szCs w:val="21"/>
              </w:rPr>
              <w:t>万</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140万元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争取上级项目投资</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不低于全省平均水平</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rPr>
              <w:t>不低于全省平均水平</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人民群众生命安全</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保障</w:t>
            </w:r>
          </w:p>
        </w:tc>
        <w:tc>
          <w:tcPr>
            <w:tcW w:w="1319" w:type="dxa"/>
            <w:noWrap w:val="0"/>
            <w:vAlign w:val="center"/>
          </w:tcPr>
          <w:p>
            <w:pPr>
              <w:widowControl/>
              <w:spacing w:beforeLines="0" w:afterLines="0"/>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lang w:eastAsia="zh-CN"/>
              </w:rPr>
              <w:t>保障</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人民群众生活幸福感</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提升</w:t>
            </w:r>
          </w:p>
        </w:tc>
        <w:tc>
          <w:tcPr>
            <w:tcW w:w="1319" w:type="dxa"/>
            <w:noWrap w:val="0"/>
            <w:vAlign w:val="center"/>
          </w:tcPr>
          <w:p>
            <w:pPr>
              <w:widowControl/>
              <w:spacing w:beforeLines="0" w:afterLines="0"/>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lang w:eastAsia="zh-CN"/>
              </w:rPr>
              <w:t>提升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群众生活生产基础设施条件</w:t>
            </w:r>
          </w:p>
        </w:tc>
        <w:tc>
          <w:tcPr>
            <w:tcW w:w="1466" w:type="dxa"/>
            <w:noWrap w:val="0"/>
            <w:vAlign w:val="center"/>
          </w:tcPr>
          <w:p>
            <w:pPr>
              <w:widowControl/>
              <w:spacing w:beforeLines="0" w:afterLines="0"/>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sz w:val="21"/>
                <w:szCs w:val="21"/>
                <w:lang w:eastAsia="zh-CN"/>
              </w:rPr>
              <w:t>改善</w:t>
            </w:r>
          </w:p>
        </w:tc>
        <w:tc>
          <w:tcPr>
            <w:tcW w:w="1319" w:type="dxa"/>
            <w:noWrap w:val="0"/>
            <w:vAlign w:val="center"/>
          </w:tcPr>
          <w:p>
            <w:pPr>
              <w:widowControl/>
              <w:spacing w:beforeLines="0" w:afterLines="0"/>
              <w:jc w:val="center"/>
              <w:rPr>
                <w:rFonts w:hint="eastAsia"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lang w:eastAsia="zh-CN"/>
              </w:rPr>
              <w:t>改善</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  标</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受众满意度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1.产出指标未完成原因：规划编制完成后未召开市政府常务会议，无法完成市政府审核并发布。</w:t>
            </w:r>
          </w:p>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val="en-US" w:eastAsia="zh-CN"/>
              </w:rPr>
              <w:t>2.执行率较低原因：湖北省“荆楚安澜”省级水网规划纲要暂未印发，</w:t>
            </w:r>
            <w:r>
              <w:rPr>
                <w:rFonts w:hint="eastAsia" w:ascii="仿宋_GB2312" w:hAnsi="宋体" w:eastAsia="仿宋_GB2312"/>
                <w:color w:val="auto"/>
                <w:kern w:val="0"/>
                <w:lang w:eastAsia="zh-CN"/>
              </w:rPr>
              <w:t>咸宁市现代水网规划编制工作暂未启动。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待</w:t>
            </w:r>
            <w:r>
              <w:rPr>
                <w:rFonts w:hint="eastAsia" w:ascii="仿宋_GB2312" w:hAnsi="宋体" w:eastAsia="仿宋_GB2312"/>
                <w:color w:val="auto"/>
                <w:kern w:val="0"/>
                <w:lang w:val="en-US" w:eastAsia="zh-CN"/>
              </w:rPr>
              <w:t>湖北省“荆楚安澜”省级水网规划纲印发后，积极同省水利厅及相关技术编制单位对接，尽快启动</w:t>
            </w:r>
            <w:r>
              <w:rPr>
                <w:rFonts w:hint="eastAsia" w:ascii="仿宋_GB2312" w:hAnsi="宋体" w:eastAsia="仿宋_GB2312"/>
                <w:color w:val="auto"/>
                <w:kern w:val="0"/>
                <w:lang w:eastAsia="zh-CN"/>
              </w:rPr>
              <w:t>咸宁市现代水网规划编制工作。</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lang w:eastAsia="zh-CN"/>
        </w:rPr>
      </w:pPr>
    </w:p>
    <w:p>
      <w:pPr>
        <w:pStyle w:val="2"/>
        <w:ind w:left="0"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水资源管理与保护</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236</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235.26</w:t>
      </w:r>
      <w:r>
        <w:rPr>
          <w:rFonts w:hint="eastAsia" w:ascii="仿宋_GB2312" w:hAnsi="仿宋_GB2312" w:eastAsia="仿宋_GB2312" w:cs="仿宋_GB2312"/>
          <w:color w:val="auto"/>
          <w:kern w:val="0"/>
          <w:sz w:val="32"/>
          <w:szCs w:val="32"/>
          <w:lang w:eastAsia="zh-CN"/>
        </w:rPr>
        <w:t>万元，完成预算</w:t>
      </w:r>
      <w:r>
        <w:rPr>
          <w:rFonts w:hint="eastAsia" w:ascii="仿宋_GB2312" w:hAnsi="仿宋_GB2312" w:eastAsia="仿宋_GB2312" w:cs="仿宋_GB2312"/>
          <w:color w:val="auto"/>
          <w:kern w:val="0"/>
          <w:sz w:val="32"/>
          <w:szCs w:val="32"/>
          <w:lang w:val="en-US" w:eastAsia="zh-CN"/>
        </w:rPr>
        <w:t>99.69%</w:t>
      </w:r>
      <w:r>
        <w:rPr>
          <w:rFonts w:hint="eastAsia" w:ascii="仿宋_GB2312" w:hAnsi="仿宋_GB2312" w:eastAsia="仿宋_GB2312" w:cs="仿宋_GB2312"/>
          <w:color w:val="auto"/>
          <w:kern w:val="0"/>
          <w:sz w:val="32"/>
          <w:szCs w:val="32"/>
          <w:lang w:eastAsia="zh-CN"/>
        </w:rPr>
        <w:t>。主要产出和效益：一是发布</w:t>
      </w:r>
      <w:r>
        <w:rPr>
          <w:rFonts w:hint="eastAsia" w:ascii="仿宋_GB2312" w:hAnsi="仿宋_GB2312" w:eastAsia="仿宋_GB2312" w:cs="仿宋_GB2312"/>
          <w:color w:val="auto"/>
          <w:kern w:val="0"/>
          <w:sz w:val="32"/>
          <w:szCs w:val="32"/>
          <w:lang w:val="en-US" w:eastAsia="zh-CN"/>
        </w:rPr>
        <w:t>2020年水资源公报；二是编制完成陆水流域水量分配实施方案；三是</w:t>
      </w:r>
      <w:r>
        <w:rPr>
          <w:rFonts w:hint="eastAsia" w:ascii="仿宋_GB2312" w:hAnsi="仿宋_GB2312" w:eastAsia="仿宋_GB2312" w:cs="仿宋_GB2312"/>
          <w:color w:val="auto"/>
          <w:kern w:val="0"/>
          <w:sz w:val="32"/>
          <w:szCs w:val="32"/>
          <w:lang w:eastAsia="zh-CN"/>
        </w:rPr>
        <w:t>编制完成咸宁市地下水管控实施方案</w:t>
      </w:r>
      <w:r>
        <w:rPr>
          <w:rFonts w:hint="eastAsia" w:ascii="仿宋_GB2312" w:hAnsi="仿宋_GB2312" w:eastAsia="仿宋_GB2312" w:cs="仿宋_GB2312"/>
          <w:color w:val="auto"/>
          <w:kern w:val="0"/>
          <w:sz w:val="32"/>
          <w:szCs w:val="32"/>
          <w:lang w:val="en-US" w:eastAsia="zh-CN"/>
        </w:rPr>
        <w:t>；四是</w:t>
      </w:r>
      <w:r>
        <w:rPr>
          <w:rFonts w:hint="eastAsia" w:ascii="仿宋_GB2312" w:hAnsi="仿宋_GB2312" w:eastAsia="仿宋_GB2312" w:cs="仿宋_GB2312"/>
          <w:color w:val="auto"/>
          <w:kern w:val="0"/>
          <w:sz w:val="32"/>
          <w:szCs w:val="32"/>
          <w:lang w:eastAsia="zh-CN"/>
        </w:rPr>
        <w:t>编制完成淦河、斧头湖生态流量保障方案；五是各方案均通过技术审查；六是万元GDP用水量、用水总量指标、万元工业增加值用水量均达到预期目标。</w:t>
      </w:r>
      <w:r>
        <w:rPr>
          <w:rFonts w:hint="eastAsia" w:ascii="仿宋_GB2312" w:hAnsi="仿宋_GB2312" w:eastAsia="仿宋_GB2312" w:cs="仿宋_GB2312"/>
          <w:color w:val="auto"/>
          <w:kern w:val="0"/>
          <w:sz w:val="32"/>
          <w:szCs w:val="32"/>
          <w:lang w:val="en-US" w:eastAsia="zh-CN"/>
        </w:rPr>
        <w:t>发现的问题及原因：</w:t>
      </w:r>
      <w:r>
        <w:rPr>
          <w:rFonts w:hint="eastAsia" w:ascii="仿宋_GB2312" w:hAnsi="仿宋_GB2312" w:eastAsia="仿宋_GB2312" w:cs="仿宋_GB2312"/>
          <w:color w:val="auto"/>
          <w:kern w:val="0"/>
          <w:sz w:val="32"/>
          <w:szCs w:val="32"/>
          <w:lang w:eastAsia="zh-CN"/>
        </w:rPr>
        <w:t>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水资源管理与保护</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水资源管理与保护</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261"/>
        <w:gridCol w:w="1058"/>
        <w:gridCol w:w="923"/>
        <w:gridCol w:w="380"/>
        <w:gridCol w:w="1366"/>
        <w:gridCol w:w="175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水资源管理与保护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74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31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03"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3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310" w:type="dxa"/>
            <w:gridSpan w:val="2"/>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得分</w:t>
            </w:r>
          </w:p>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w:t>
            </w:r>
            <w:r>
              <w:rPr>
                <w:rFonts w:hint="eastAsia" w:ascii="仿宋_GB2312" w:hAnsi="宋体" w:eastAsia="仿宋_GB2312" w:cs="仿宋_GB2312"/>
                <w:color w:val="auto"/>
                <w:kern w:val="0"/>
                <w:sz w:val="21"/>
                <w:szCs w:val="21"/>
                <w:lang w:val="en-US" w:eastAsia="zh-CN"/>
              </w:rPr>
              <w:t>1</w:t>
            </w:r>
            <w:r>
              <w:rPr>
                <w:rFonts w:hint="eastAsia" w:ascii="仿宋_GB2312" w:hAnsi="宋体" w:eastAsia="仿宋_GB2312" w:cs="仿宋_GB2312"/>
                <w:color w:val="auto"/>
                <w:kern w:val="0"/>
                <w:sz w:val="21"/>
                <w:szCs w:val="21"/>
                <w:lang w:eastAsia="zh-CN"/>
              </w:rPr>
              <w:t>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236</w:t>
            </w:r>
          </w:p>
        </w:tc>
        <w:tc>
          <w:tcPr>
            <w:tcW w:w="1303"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235.26</w:t>
            </w:r>
          </w:p>
        </w:tc>
        <w:tc>
          <w:tcPr>
            <w:tcW w:w="13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99.69%</w:t>
            </w:r>
          </w:p>
        </w:tc>
        <w:tc>
          <w:tcPr>
            <w:tcW w:w="2310"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3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2361"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7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5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发布</w:t>
            </w:r>
            <w:r>
              <w:rPr>
                <w:rFonts w:hint="eastAsia" w:ascii="仿宋_GB2312" w:hAnsi="宋体" w:eastAsia="仿宋_GB2312" w:cs="仿宋_GB2312"/>
                <w:color w:val="auto"/>
                <w:kern w:val="0"/>
                <w:sz w:val="21"/>
                <w:szCs w:val="21"/>
                <w:lang w:val="en-US" w:eastAsia="zh-CN"/>
              </w:rPr>
              <w:t>2020年水资源公报</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取水许可监管及整改提升</w:t>
            </w:r>
            <w:r>
              <w:rPr>
                <w:rFonts w:hint="eastAsia" w:ascii="仿宋_GB2312" w:hAnsi="宋体" w:eastAsia="仿宋_GB2312" w:cs="仿宋_GB2312"/>
                <w:color w:val="auto"/>
                <w:kern w:val="0"/>
                <w:sz w:val="21"/>
                <w:szCs w:val="21"/>
                <w:lang w:eastAsia="zh-CN"/>
              </w:rPr>
              <w:t>完成率</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1750"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编制完成陆水流域水量分配实施方案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编制</w:t>
            </w:r>
            <w:r>
              <w:rPr>
                <w:rFonts w:hint="eastAsia" w:ascii="仿宋_GB2312" w:hAnsi="宋体" w:eastAsia="仿宋_GB2312" w:cs="仿宋_GB2312"/>
                <w:color w:val="auto"/>
                <w:kern w:val="0"/>
                <w:sz w:val="21"/>
                <w:szCs w:val="21"/>
                <w:lang w:eastAsia="zh-CN"/>
              </w:rPr>
              <w:t>完成咸宁市</w:t>
            </w:r>
            <w:r>
              <w:rPr>
                <w:rFonts w:hint="eastAsia" w:ascii="仿宋_GB2312" w:hAnsi="宋体" w:eastAsia="仿宋_GB2312" w:cs="仿宋_GB2312"/>
                <w:color w:val="auto"/>
                <w:kern w:val="0"/>
                <w:sz w:val="21"/>
                <w:szCs w:val="21"/>
              </w:rPr>
              <w:t>地下水管控实施方案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编制完成淦河、斧头湖生态流量保障方案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完成县级以上城市饮用水源地调查工作</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申报省级、市级节水公共机构、节水灌区、节水高校、节水企业示范单位</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w:t>
            </w:r>
            <w:r>
              <w:rPr>
                <w:rFonts w:hint="eastAsia" w:ascii="仿宋_GB2312" w:hAnsi="宋体" w:cs="Times New Roman"/>
                <w:color w:val="auto"/>
                <w:kern w:val="0"/>
                <w:sz w:val="21"/>
                <w:szCs w:val="21"/>
                <w:lang w:val="en-US" w:eastAsia="zh-CN"/>
              </w:rPr>
              <w:t>10家</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w:t>
            </w:r>
            <w:r>
              <w:rPr>
                <w:rFonts w:hint="eastAsia" w:ascii="仿宋_GB2312" w:hAnsi="宋体" w:cs="Times New Roman"/>
                <w:color w:val="auto"/>
                <w:kern w:val="0"/>
                <w:sz w:val="21"/>
                <w:szCs w:val="21"/>
                <w:lang w:val="en-US" w:eastAsia="zh-CN"/>
              </w:rPr>
              <w:t>10家</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通过省政府考核</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100%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100%</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陆水流域水量分配实施方案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咸宁市地下水管控实施方案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淦河、斧头湖生态流量保障方案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175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县级以上城市饮用水源地调查结果</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达到省定目标</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达到省定目标</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各项方案完成时限</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2021年12月31日前</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2021年12月31日前</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各项方案金额控制在预算内</w:t>
            </w:r>
          </w:p>
        </w:tc>
        <w:tc>
          <w:tcPr>
            <w:tcW w:w="13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175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2361" w:type="dxa"/>
            <w:gridSpan w:val="3"/>
            <w:noWrap w:val="0"/>
            <w:vAlign w:val="center"/>
          </w:tcPr>
          <w:p>
            <w:pPr>
              <w:widowControl/>
              <w:spacing w:beforeLines="0" w:afterLines="0"/>
              <w:jc w:val="left"/>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rPr>
              <w:t>用水总量指标</w:t>
            </w:r>
          </w:p>
        </w:tc>
        <w:tc>
          <w:tcPr>
            <w:tcW w:w="13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“十三五”控制目标16.48亿m³</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13.01亿m³，完成十三五省定目标</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sz w:val="20"/>
                <w:szCs w:val="22"/>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万元GDP用水量</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“十三五”下降</w:t>
            </w:r>
            <w:r>
              <w:rPr>
                <w:rFonts w:hint="eastAsia" w:ascii="仿宋_GB2312" w:hAnsi="宋体" w:eastAsia="仿宋_GB2312" w:cs="仿宋_GB2312"/>
                <w:color w:val="auto"/>
                <w:kern w:val="0"/>
                <w:sz w:val="21"/>
                <w:szCs w:val="21"/>
                <w:lang w:val="en-US" w:eastAsia="zh-CN"/>
              </w:rPr>
              <w:t>30%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全市万元GDP用水量为85m³，完成十三五省定目标</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sz w:val="20"/>
                <w:szCs w:val="22"/>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万元工业增加值用水量</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“十三五”下降</w:t>
            </w:r>
            <w:r>
              <w:rPr>
                <w:rFonts w:hint="eastAsia" w:ascii="仿宋_GB2312" w:hAnsi="宋体" w:eastAsia="仿宋_GB2312" w:cs="仿宋_GB2312"/>
                <w:color w:val="auto"/>
                <w:kern w:val="0"/>
                <w:sz w:val="21"/>
                <w:szCs w:val="21"/>
                <w:lang w:val="en-US" w:eastAsia="zh-CN"/>
              </w:rPr>
              <w:t>30%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2020年全市万元工业增加值用水量为62m³，完成十三五省定目标</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sz w:val="20"/>
                <w:szCs w:val="22"/>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rPr>
              <w:t>可持续影响指标</w:t>
            </w:r>
          </w:p>
        </w:tc>
        <w:tc>
          <w:tcPr>
            <w:tcW w:w="2361"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河湖面貌和水生态环境</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改善</w:t>
            </w:r>
          </w:p>
        </w:tc>
        <w:tc>
          <w:tcPr>
            <w:tcW w:w="175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改善</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  标</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（10分）</w:t>
            </w:r>
          </w:p>
        </w:tc>
        <w:tc>
          <w:tcPr>
            <w:tcW w:w="13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2361"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cs="仿宋_GB2312"/>
                <w:color w:val="auto"/>
                <w:kern w:val="0"/>
                <w:sz w:val="21"/>
                <w:szCs w:val="21"/>
                <w:lang w:eastAsia="zh-CN"/>
              </w:rPr>
              <w:t>群众满意度</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≥80%</w:t>
            </w:r>
          </w:p>
        </w:tc>
        <w:tc>
          <w:tcPr>
            <w:tcW w:w="1750"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偏差大或</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目标未完成</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原因分析</w:t>
            </w:r>
          </w:p>
        </w:tc>
        <w:tc>
          <w:tcPr>
            <w:tcW w:w="7420" w:type="dxa"/>
            <w:gridSpan w:val="8"/>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lang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咸宁大洲湖项目绩效自评综述：项目全年预算数为</w:t>
      </w:r>
      <w:r>
        <w:rPr>
          <w:rFonts w:hint="eastAsia" w:ascii="仿宋_GB2312" w:hAnsi="仿宋_GB2312" w:eastAsia="仿宋_GB2312" w:cs="仿宋_GB2312"/>
          <w:color w:val="auto"/>
          <w:kern w:val="0"/>
          <w:sz w:val="32"/>
          <w:szCs w:val="32"/>
          <w:lang w:val="en-US" w:eastAsia="zh-CN"/>
        </w:rPr>
        <w:t>1230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1230</w:t>
      </w:r>
      <w:r>
        <w:rPr>
          <w:rFonts w:hint="eastAsia" w:ascii="仿宋_GB2312" w:hAnsi="仿宋_GB2312" w:eastAsia="仿宋_GB2312" w:cs="仿宋_GB2312"/>
          <w:color w:val="auto"/>
          <w:kern w:val="0"/>
          <w:sz w:val="32"/>
          <w:szCs w:val="32"/>
          <w:lang w:eastAsia="zh-CN"/>
        </w:rPr>
        <w:t>万元，完成预算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。主要产出和效益：一是</w:t>
      </w:r>
      <w:r>
        <w:rPr>
          <w:rFonts w:hint="eastAsia" w:ascii="仿宋_GB2312" w:hAnsi="仿宋_GB2312" w:eastAsia="仿宋_GB2312" w:cs="仿宋_GB2312"/>
          <w:bCs/>
          <w:color w:val="auto"/>
          <w:szCs w:val="21"/>
        </w:rPr>
        <w:t>维护频次</w:t>
      </w:r>
      <w:r>
        <w:rPr>
          <w:rFonts w:hint="eastAsia" w:ascii="仿宋_GB2312" w:hAnsi="仿宋_GB2312" w:eastAsia="仿宋_GB2312" w:cs="仿宋_GB2312"/>
          <w:bCs/>
          <w:color w:val="auto"/>
          <w:szCs w:val="21"/>
          <w:lang w:val="en-US" w:eastAsia="zh-CN"/>
        </w:rPr>
        <w:t>100%</w:t>
      </w:r>
      <w:r>
        <w:rPr>
          <w:rFonts w:hint="eastAsia" w:ascii="仿宋_GB2312" w:hAnsi="仿宋_GB2312" w:eastAsia="仿宋_GB2312" w:cs="仿宋_GB2312"/>
          <w:color w:val="auto"/>
          <w:kern w:val="0"/>
          <w:sz w:val="32"/>
          <w:szCs w:val="32"/>
          <w:lang w:val="en-US" w:eastAsia="zh-CN"/>
        </w:rPr>
        <w:t>；二是亮灯率100%；三是</w:t>
      </w:r>
      <w:r>
        <w:rPr>
          <w:rFonts w:hint="eastAsia" w:ascii="仿宋_GB2312" w:hAnsi="仿宋_GB2312" w:eastAsia="仿宋_GB2312" w:cs="仿宋_GB2312"/>
          <w:bCs/>
          <w:color w:val="auto"/>
          <w:szCs w:val="21"/>
        </w:rPr>
        <w:t>运营记录规范性</w:t>
      </w:r>
      <w:r>
        <w:rPr>
          <w:rFonts w:hint="eastAsia" w:ascii="仿宋_GB2312" w:hAnsi="仿宋_GB2312" w:eastAsia="仿宋_GB2312" w:cs="仿宋_GB2312"/>
          <w:bCs/>
          <w:color w:val="auto"/>
          <w:szCs w:val="21"/>
          <w:lang w:val="en-US" w:eastAsia="zh-CN"/>
        </w:rPr>
        <w:t>94%</w:t>
      </w:r>
      <w:r>
        <w:rPr>
          <w:rFonts w:hint="eastAsia" w:ascii="仿宋_GB2312" w:hAnsi="仿宋_GB2312" w:eastAsia="仿宋_GB2312" w:cs="仿宋_GB2312"/>
          <w:color w:val="auto"/>
          <w:kern w:val="0"/>
          <w:sz w:val="32"/>
          <w:szCs w:val="32"/>
          <w:lang w:val="en-US" w:eastAsia="zh-CN"/>
        </w:rPr>
        <w:t>；四是</w:t>
      </w:r>
      <w:r>
        <w:rPr>
          <w:rFonts w:hint="eastAsia" w:ascii="仿宋_GB2312" w:hAnsi="仿宋_GB2312" w:eastAsia="仿宋_GB2312" w:cs="仿宋_GB2312"/>
          <w:bCs/>
          <w:color w:val="auto"/>
          <w:szCs w:val="21"/>
        </w:rPr>
        <w:t>设施设备完好率</w:t>
      </w:r>
      <w:r>
        <w:rPr>
          <w:rFonts w:hint="eastAsia" w:ascii="仿宋_GB2312" w:hAnsi="仿宋_GB2312" w:eastAsia="仿宋_GB2312" w:cs="仿宋_GB2312"/>
          <w:bCs/>
          <w:color w:val="auto"/>
          <w:szCs w:val="21"/>
          <w:lang w:val="en-US" w:eastAsia="zh-CN"/>
        </w:rPr>
        <w:t>95%</w:t>
      </w:r>
      <w:r>
        <w:rPr>
          <w:rFonts w:hint="eastAsia" w:ascii="仿宋_GB2312" w:hAnsi="仿宋_GB2312" w:eastAsia="仿宋_GB2312" w:cs="仿宋_GB2312"/>
          <w:color w:val="auto"/>
          <w:kern w:val="0"/>
          <w:sz w:val="32"/>
          <w:szCs w:val="32"/>
          <w:lang w:eastAsia="zh-CN"/>
        </w:rPr>
        <w:t>；五是未发生群体性事件及环保处罚；六是推动经济发展。</w:t>
      </w:r>
      <w:r>
        <w:rPr>
          <w:rFonts w:hint="eastAsia" w:ascii="仿宋_GB2312" w:hAnsi="仿宋_GB2312" w:eastAsia="仿宋_GB2312" w:cs="仿宋_GB2312"/>
          <w:color w:val="auto"/>
          <w:kern w:val="0"/>
          <w:sz w:val="32"/>
          <w:szCs w:val="32"/>
          <w:lang w:val="en-US" w:eastAsia="zh-CN"/>
        </w:rPr>
        <w:t>发现的问题及原因：</w:t>
      </w:r>
      <w:r>
        <w:rPr>
          <w:rFonts w:hint="eastAsia" w:ascii="仿宋_GB2312" w:hAnsi="仿宋_GB2312" w:eastAsia="仿宋_GB2312" w:cs="仿宋_GB2312"/>
          <w:color w:val="auto"/>
          <w:kern w:val="0"/>
          <w:sz w:val="32"/>
          <w:szCs w:val="32"/>
          <w:lang w:eastAsia="zh-CN"/>
        </w:rPr>
        <w:t>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附件：《2021年度咸宁大洲湖项目绩效自评表》</w:t>
      </w:r>
    </w:p>
    <w:p>
      <w:pPr>
        <w:jc w:val="center"/>
        <w:rPr>
          <w:rFonts w:hint="eastAsia" w:ascii="方正小标宋简体" w:hAnsi="宋体" w:eastAsia="方正小标宋简体" w:cs="方正小标宋简体"/>
          <w:color w:val="auto"/>
          <w:sz w:val="36"/>
          <w:szCs w:val="36"/>
        </w:rPr>
      </w:pPr>
    </w:p>
    <w:p>
      <w:pPr>
        <w:jc w:val="center"/>
        <w:rPr>
          <w:rFonts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2021年度咸宁大洲湖项目绩效自评表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rPr>
              <w:t>大洲湖生态建设示范区PPP项目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olor w:val="auto"/>
                <w:kern w:val="0"/>
              </w:rPr>
              <w:t>咸宁市水利和湖泊局</w:t>
            </w:r>
          </w:p>
        </w:tc>
        <w:tc>
          <w:tcPr>
            <w:tcW w:w="1860"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vAlign w:val="center"/>
          </w:tcPr>
          <w:p>
            <w:pPr>
              <w:widowControl/>
              <w:snapToGrid w:val="0"/>
              <w:spacing w:line="240" w:lineRule="exact"/>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中建三局咸宁大洲湖生态建设运营有限公司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rPr>
              <w:sym w:font="Wingdings 2" w:char="0052"/>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hint="eastAsia" w:ascii="仿宋_GB2312" w:hAnsi="宋体" w:eastAsia="仿宋_GB2312" w:cs="仿宋_GB2312"/>
                <w:color w:val="auto"/>
                <w:kern w:val="0"/>
              </w:rPr>
              <w:sym w:font="Wingdings 2" w:char="0052"/>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vAlign w:val="center"/>
          </w:tcPr>
          <w:p>
            <w:pPr>
              <w:widowControl/>
              <w:snapToGrid w:val="0"/>
              <w:spacing w:line="520" w:lineRule="exact"/>
              <w:jc w:val="center"/>
              <w:rPr>
                <w:rFonts w:ascii="仿宋_GB2312" w:hAnsi="宋体" w:eastAsia="仿宋_GB2312"/>
                <w:color w:val="auto"/>
                <w:kern w:val="0"/>
              </w:rPr>
            </w:pPr>
          </w:p>
        </w:tc>
        <w:tc>
          <w:tcPr>
            <w:tcW w:w="1319"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1230</w:t>
            </w:r>
          </w:p>
        </w:tc>
        <w:tc>
          <w:tcPr>
            <w:tcW w:w="1317"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1230</w:t>
            </w:r>
          </w:p>
        </w:tc>
        <w:tc>
          <w:tcPr>
            <w:tcW w:w="1466" w:type="dxa"/>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100%</w:t>
            </w:r>
          </w:p>
        </w:tc>
        <w:tc>
          <w:tcPr>
            <w:tcW w:w="2196"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vAlign w:val="center"/>
          </w:tcPr>
          <w:p>
            <w:pPr>
              <w:widowControl/>
              <w:snapToGrid w:val="0"/>
              <w:spacing w:line="24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一级</w:t>
            </w:r>
          </w:p>
          <w:p>
            <w:pPr>
              <w:widowControl/>
              <w:snapToGrid w:val="0"/>
              <w:spacing w:line="240" w:lineRule="exact"/>
              <w:jc w:val="center"/>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二级指标</w:t>
            </w:r>
          </w:p>
        </w:tc>
        <w:tc>
          <w:tcPr>
            <w:tcW w:w="1879" w:type="dxa"/>
            <w:gridSpan w:val="3"/>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三级指标</w:t>
            </w:r>
          </w:p>
        </w:tc>
        <w:tc>
          <w:tcPr>
            <w:tcW w:w="1466" w:type="dxa"/>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年初目标值（A）</w:t>
            </w:r>
          </w:p>
        </w:tc>
        <w:tc>
          <w:tcPr>
            <w:tcW w:w="1319" w:type="dxa"/>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实际完成值（B）</w:t>
            </w:r>
          </w:p>
        </w:tc>
        <w:tc>
          <w:tcPr>
            <w:tcW w:w="877" w:type="dxa"/>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restart"/>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（50分）</w:t>
            </w:r>
          </w:p>
        </w:tc>
        <w:tc>
          <w:tcPr>
            <w:tcW w:w="1879" w:type="dxa"/>
            <w:gridSpan w:val="2"/>
            <w:vMerge w:val="restart"/>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数量指标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维护频次</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s="仿宋_GB2312"/>
                <w:color w:val="auto"/>
                <w:kern w:val="0"/>
                <w:sz w:val="20"/>
                <w:szCs w:val="22"/>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维护数量</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s="仿宋_GB2312"/>
                <w:color w:val="auto"/>
                <w:kern w:val="0"/>
                <w:sz w:val="20"/>
                <w:szCs w:val="22"/>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亮灯率</w:t>
            </w:r>
          </w:p>
        </w:tc>
        <w:tc>
          <w:tcPr>
            <w:tcW w:w="1466" w:type="dxa"/>
            <w:vAlign w:val="center"/>
          </w:tcPr>
          <w:p>
            <w:pPr>
              <w:adjustRightInd w:val="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Merge w:val="restart"/>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质量指标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运营记录规范性</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94%</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设施设备完好率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事故发生率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0</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时效指标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维修维护及时率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成本指标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成本节约率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restart"/>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vAlign w:val="center"/>
          </w:tcPr>
          <w:p>
            <w:pPr>
              <w:widowControl/>
              <w:snapToGrid w:val="0"/>
              <w:spacing w:line="52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经济效益指标</w:t>
            </w:r>
          </w:p>
        </w:tc>
        <w:tc>
          <w:tcPr>
            <w:tcW w:w="1879" w:type="dxa"/>
            <w:gridSpan w:val="3"/>
            <w:vAlign w:val="center"/>
          </w:tcPr>
          <w:p>
            <w:pPr>
              <w:adjustRightInd w:val="0"/>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是否推动经济发展</w:t>
            </w:r>
          </w:p>
        </w:tc>
        <w:tc>
          <w:tcPr>
            <w:tcW w:w="1466" w:type="dxa"/>
            <w:vAlign w:val="center"/>
          </w:tcPr>
          <w:p>
            <w:pPr>
              <w:widowControl/>
              <w:snapToGrid w:val="0"/>
              <w:spacing w:line="52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是</w:t>
            </w:r>
          </w:p>
        </w:tc>
        <w:tc>
          <w:tcPr>
            <w:tcW w:w="1319" w:type="dxa"/>
            <w:vAlign w:val="center"/>
          </w:tcPr>
          <w:p>
            <w:pPr>
              <w:widowControl/>
              <w:snapToGrid w:val="0"/>
              <w:spacing w:line="52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是</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b/>
                <w:bCs/>
                <w:color w:val="auto"/>
                <w:kern w:val="0"/>
              </w:rPr>
            </w:pPr>
            <w:r>
              <w:rPr>
                <w:rFonts w:hint="eastAsia" w:ascii="仿宋_GB2312" w:hAnsi="仿宋_GB2312" w:eastAsia="仿宋_GB2312" w:cs="仿宋_GB2312"/>
                <w:color w:val="auto"/>
                <w:kern w:val="0"/>
              </w:rPr>
              <w:t>社会效益指标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群体性事件</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生态效益指标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环保处罚</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可持续影响指标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项目可持续性</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≥1年</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≥1年</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vAlign w:val="center"/>
          </w:tcPr>
          <w:p>
            <w:pPr>
              <w:adjustRightInd w:val="0"/>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服务对象</w:t>
            </w:r>
          </w:p>
          <w:p>
            <w:pPr>
              <w:adjustRightInd w:val="0"/>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满意度指标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使用对象满意度</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≧90%</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≧90%</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82" w:type="dxa"/>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528" w:type="dxa"/>
            <w:gridSpan w:val="2"/>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vAlign w:val="center"/>
          </w:tcPr>
          <w:p>
            <w:pPr>
              <w:widowControl/>
              <w:jc w:val="left"/>
              <w:rPr>
                <w:rFonts w:ascii="仿宋_GB2312" w:hAnsi="宋体" w:eastAsia="仿宋_GB2312"/>
                <w:color w:val="auto"/>
                <w:kern w:val="0"/>
              </w:rPr>
            </w:pPr>
            <w:r>
              <w:rPr>
                <w:rFonts w:hint="eastAsia" w:ascii="仿宋_GB2312" w:hAnsi="宋体" w:eastAsia="仿宋_GB2312"/>
                <w:color w:val="auto"/>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28" w:type="dxa"/>
            <w:gridSpan w:val="2"/>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水利驻汉办事处改制经费</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500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500</w:t>
      </w:r>
      <w:r>
        <w:rPr>
          <w:rFonts w:hint="eastAsia" w:ascii="仿宋_GB2312" w:hAnsi="仿宋_GB2312" w:eastAsia="仿宋_GB2312" w:cs="仿宋_GB2312"/>
          <w:color w:val="auto"/>
          <w:kern w:val="0"/>
          <w:sz w:val="32"/>
          <w:szCs w:val="32"/>
          <w:lang w:eastAsia="zh-CN"/>
        </w:rPr>
        <w:t>万元，完成预算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。主要产出和效益：一是按期完成了水利驻汉办事处改制；二是未发现安置对象上访等事件。</w:t>
      </w:r>
      <w:r>
        <w:rPr>
          <w:rFonts w:hint="eastAsia" w:ascii="仿宋_GB2312" w:hAnsi="仿宋_GB2312" w:eastAsia="仿宋_GB2312" w:cs="仿宋_GB2312"/>
          <w:color w:val="auto"/>
          <w:kern w:val="0"/>
          <w:sz w:val="32"/>
          <w:szCs w:val="32"/>
          <w:lang w:val="en-US" w:eastAsia="zh-CN"/>
        </w:rPr>
        <w:t>发现的问题及原因：</w:t>
      </w:r>
      <w:r>
        <w:rPr>
          <w:rFonts w:hint="eastAsia" w:ascii="仿宋_GB2312" w:hAnsi="仿宋_GB2312" w:eastAsia="仿宋_GB2312" w:cs="仿宋_GB2312"/>
          <w:color w:val="auto"/>
          <w:kern w:val="0"/>
          <w:sz w:val="32"/>
          <w:szCs w:val="32"/>
          <w:lang w:eastAsia="zh-CN"/>
        </w:rPr>
        <w:t>绩效目标执行无偏差。下一步改进措施：无。</w:t>
      </w:r>
    </w:p>
    <w:p>
      <w:pPr>
        <w:jc w:val="both"/>
        <w:rPr>
          <w:rFonts w:hint="eastAsia" w:ascii="仿宋_GB2312" w:hAnsi="仿宋_GB2312" w:eastAsia="仿宋_GB2312" w:cs="仿宋_GB2312"/>
          <w:color w:val="auto"/>
          <w:kern w:val="0"/>
          <w:sz w:val="32"/>
          <w:szCs w:val="32"/>
        </w:rPr>
      </w:pPr>
    </w:p>
    <w:p>
      <w:pPr>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水利驻汉办事处改制经费</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val="en-US" w:eastAsia="zh-CN"/>
        </w:rPr>
        <w:t>水利驻汉办事处改制经费</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961"/>
        <w:gridCol w:w="358"/>
        <w:gridCol w:w="923"/>
        <w:gridCol w:w="652"/>
        <w:gridCol w:w="1383"/>
        <w:gridCol w:w="130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水利驻汉办事处改制经费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2035"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575"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383"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500</w:t>
            </w:r>
          </w:p>
        </w:tc>
        <w:tc>
          <w:tcPr>
            <w:tcW w:w="1575"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500</w:t>
            </w:r>
          </w:p>
        </w:tc>
        <w:tc>
          <w:tcPr>
            <w:tcW w:w="1383"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021"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7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实现</w:t>
            </w:r>
            <w:r>
              <w:rPr>
                <w:rFonts w:hint="eastAsia" w:ascii="仿宋_GB2312" w:hAnsi="宋体" w:eastAsia="仿宋_GB2312" w:cs="仿宋_GB2312"/>
                <w:color w:val="auto"/>
                <w:kern w:val="0"/>
                <w:sz w:val="21"/>
                <w:szCs w:val="21"/>
              </w:rPr>
              <w:t>人员安置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14人</w:t>
            </w:r>
            <w:r>
              <w:rPr>
                <w:rFonts w:hint="eastAsia" w:ascii="仿宋_GB2312" w:hAnsi="宋体" w:eastAsia="仿宋_GB2312" w:cs="仿宋_GB2312"/>
                <w:color w:val="auto"/>
                <w:kern w:val="0"/>
                <w:sz w:val="21"/>
                <w:szCs w:val="21"/>
              </w:rPr>
              <w:t>　</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14人</w:t>
            </w:r>
            <w:r>
              <w:rPr>
                <w:rFonts w:hint="eastAsia" w:ascii="仿宋_GB2312" w:hAnsi="宋体" w:eastAsia="仿宋_GB2312" w:cs="仿宋_GB2312"/>
                <w:color w:val="auto"/>
                <w:kern w:val="0"/>
                <w:sz w:val="21"/>
                <w:szCs w:val="21"/>
              </w:rPr>
              <w:t>　</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资产清查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1次</w:t>
            </w:r>
            <w:r>
              <w:rPr>
                <w:rFonts w:hint="eastAsia" w:ascii="仿宋_GB2312" w:hAnsi="宋体" w:eastAsia="仿宋_GB2312" w:cs="仿宋_GB2312"/>
                <w:color w:val="auto"/>
                <w:kern w:val="0"/>
                <w:sz w:val="21"/>
                <w:szCs w:val="21"/>
              </w:rPr>
              <w:t>　</w:t>
            </w:r>
          </w:p>
        </w:tc>
        <w:tc>
          <w:tcPr>
            <w:tcW w:w="1300"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1次</w:t>
            </w:r>
            <w:r>
              <w:rPr>
                <w:rFonts w:hint="eastAsia" w:ascii="仿宋_GB2312" w:hAnsi="宋体" w:eastAsia="仿宋_GB2312" w:cs="仿宋_GB2312"/>
                <w:color w:val="auto"/>
                <w:kern w:val="0"/>
                <w:sz w:val="21"/>
                <w:szCs w:val="21"/>
              </w:rPr>
              <w:t>　</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改制方案完成效果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优</w:t>
            </w:r>
          </w:p>
        </w:tc>
        <w:tc>
          <w:tcPr>
            <w:tcW w:w="1300"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优</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eastAsia="zh-CN"/>
              </w:rPr>
              <w:t>时效</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改制完成及时性</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年内完成</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已</w:t>
            </w:r>
            <w:r>
              <w:rPr>
                <w:rFonts w:hint="eastAsia" w:ascii="仿宋_GB2312" w:hAnsi="宋体" w:eastAsia="仿宋_GB2312" w:cs="仿宋_GB2312"/>
                <w:color w:val="auto"/>
                <w:kern w:val="0"/>
                <w:sz w:val="21"/>
                <w:szCs w:val="21"/>
              </w:rPr>
              <w:t>完成</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预算控制</w:t>
            </w:r>
          </w:p>
        </w:tc>
        <w:tc>
          <w:tcPr>
            <w:tcW w:w="1383"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500万元</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＜500万元</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社会效益指标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rPr>
              <w:t>安置人员上访率</w:t>
            </w:r>
          </w:p>
        </w:tc>
        <w:tc>
          <w:tcPr>
            <w:tcW w:w="1383"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olor w:val="auto"/>
                <w:kern w:val="0"/>
                <w:lang w:val="en-US" w:eastAsia="zh-CN"/>
              </w:rPr>
              <w:t>0</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sz w:val="21"/>
                <w:szCs w:val="21"/>
              </w:rPr>
              <w:t>安置对象满意度</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≥90%</w:t>
            </w:r>
          </w:p>
        </w:tc>
        <w:tc>
          <w:tcPr>
            <w:tcW w:w="1300"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3.绩效评价结果应用情况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（1）部门绩效评价结果应用情况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至部门决算公开时已经应用的情况：加强项目管理、结果与预算安排相结合。加强各预算项目管理，力求拨付资金项目与原预算安排完全相对应，项目严格按照绩效目标按时、按质完成，不发生偏离现象，全部达到预期指标。</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（2）部门绩效评价结果拟应用情况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加强项目规划</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绩效目标管理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严格按照绩效目标要求进行组织实施，按照合同制要求进行管理。在项目建设过程中，严把质量关。促进项目管理，力求项目产出最大化，使项目发挥出最大效益，让项目效果更加明显，受益群众得实惠，满意度更高。</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（八）政府性基金预算支出情况决算表有关情况说明</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2021年市水利和湖泊局安排政府性基金预算收入1238.84万元，为国有土地使用权出让收入安排的支出1230万元、大中型水库库区基金安排的支出8.84万元</w:t>
      </w:r>
      <w:r>
        <w:rPr>
          <w:rFonts w:hint="eastAsia" w:ascii="仿宋_GB2312" w:hAnsi="仿宋_GB2312" w:eastAsia="仿宋_GB2312" w:cs="仿宋_GB2312"/>
          <w:color w:val="auto"/>
          <w:kern w:val="0"/>
          <w:sz w:val="32"/>
          <w:szCs w:val="32"/>
          <w:lang w:eastAsia="zh-CN"/>
        </w:rPr>
        <w:t>。实际支出</w:t>
      </w:r>
      <w:r>
        <w:rPr>
          <w:rFonts w:hint="eastAsia" w:ascii="仿宋_GB2312" w:hAnsi="仿宋_GB2312" w:eastAsia="仿宋_GB2312" w:cs="仿宋_GB2312"/>
          <w:color w:val="auto"/>
          <w:kern w:val="0"/>
          <w:sz w:val="32"/>
          <w:szCs w:val="32"/>
          <w:lang w:val="en-US" w:eastAsia="zh-CN"/>
        </w:rPr>
        <w:t>1238.84万元，主要用于</w:t>
      </w:r>
      <w:r>
        <w:rPr>
          <w:rFonts w:hint="eastAsia" w:ascii="仿宋_GB2312" w:hAnsi="宋体" w:eastAsia="仿宋_GB2312" w:cs="仿宋_GB2312"/>
          <w:color w:val="auto"/>
          <w:kern w:val="0"/>
        </w:rPr>
        <w:t>大洲湖生态建设示范区PPP项目</w:t>
      </w:r>
      <w:r>
        <w:rPr>
          <w:rFonts w:hint="eastAsia" w:ascii="仿宋_GB2312" w:hAnsi="宋体" w:eastAsia="仿宋_GB2312" w:cs="仿宋_GB2312"/>
          <w:color w:val="auto"/>
          <w:kern w:val="0"/>
          <w:lang w:eastAsia="zh-CN"/>
        </w:rPr>
        <w:t>和移民项目支出</w:t>
      </w:r>
      <w:r>
        <w:rPr>
          <w:rFonts w:hint="eastAsia" w:ascii="仿宋_GB2312" w:hAnsi="仿宋_GB2312" w:eastAsia="仿宋_GB2312" w:cs="仿宋_GB2312"/>
          <w:color w:val="auto"/>
          <w:kern w:val="0"/>
          <w:sz w:val="32"/>
          <w:szCs w:val="32"/>
          <w:lang w:val="en-US" w:eastAsia="zh-CN"/>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（九）国有资本经营预算支出有关情况说明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lang w:val="en-US" w:eastAsia="zh-CN"/>
        </w:rPr>
        <w:t>2021年度</w:t>
      </w:r>
      <w:r>
        <w:rPr>
          <w:rFonts w:hint="eastAsia" w:ascii="仿宋_GB2312" w:hAnsi="仿宋_GB2312" w:eastAsia="仿宋_GB2312" w:cs="仿宋_GB2312"/>
          <w:color w:val="auto"/>
          <w:kern w:val="0"/>
          <w:sz w:val="32"/>
          <w:szCs w:val="32"/>
        </w:rPr>
        <w:t>无</w:t>
      </w:r>
      <w:r>
        <w:rPr>
          <w:rFonts w:hint="eastAsia" w:ascii="仿宋_GB2312" w:hAnsi="仿宋_GB2312" w:eastAsia="仿宋_GB2312" w:cs="仿宋_GB2312"/>
          <w:color w:val="auto"/>
          <w:kern w:val="0"/>
          <w:sz w:val="32"/>
          <w:szCs w:val="32"/>
          <w:lang w:eastAsia="zh-CN"/>
        </w:rPr>
        <w:t>国有资本经营预算</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eastAsia="zh-CN"/>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（十）扶贫资金安排情况说明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lang w:val="en-US" w:eastAsia="zh-CN"/>
        </w:rPr>
        <w:t>2021年度</w:t>
      </w:r>
      <w:r>
        <w:rPr>
          <w:rFonts w:hint="eastAsia" w:ascii="仿宋_GB2312" w:hAnsi="仿宋_GB2312" w:eastAsia="仿宋_GB2312" w:cs="仿宋_GB2312"/>
          <w:color w:val="auto"/>
          <w:kern w:val="0"/>
          <w:sz w:val="32"/>
          <w:szCs w:val="32"/>
          <w:lang w:eastAsia="zh-CN"/>
        </w:rPr>
        <w:t>未安排扶贫专项资金。</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40" w:lineRule="exact"/>
        <w:jc w:val="center"/>
        <w:rPr>
          <w:rFonts w:ascii="黑体" w:hAnsi="黑体" w:eastAsia="黑体" w:cs="黑体"/>
          <w:color w:val="auto"/>
          <w:sz w:val="32"/>
          <w:szCs w:val="32"/>
        </w:rPr>
      </w:pPr>
      <w:r>
        <w:rPr>
          <w:rFonts w:hint="eastAsia" w:ascii="黑体" w:hAnsi="黑体" w:eastAsia="黑体" w:cs="黑体"/>
          <w:color w:val="auto"/>
          <w:sz w:val="32"/>
          <w:szCs w:val="32"/>
        </w:rPr>
        <w:t>名词解释</w:t>
      </w: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.财政拨款（补助）收入：指省级财政预算安排且当年拨付的资金。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2.社会保障和就业：包括社会保障和就业管理事务、行政事业单位离退休、企业改革补助、就业补助、抚恤、退役安置、社会福利、残疾人事务、城市居民最低生活保障、其他城镇社会救济、农村社会救济等。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3.行政事业单位离退休：反映用于行政事业单位离退休方面的支出。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4.医疗卫生：反映医疗卫生方面的支出。具体包括医疗卫生管理事务支出、公立医院、基层医疗卫生机构支出、公共卫生、医疗保障、中医药、食品和药品监督管理事务等。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5.节能环保：反映政府节能环保支出。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6.农林水事务：反映政府农林水事务支出。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7.基本支出：指为保障机构正常运转、完成日常工作任务而发生的人员支出（包括基本工资、津贴补贴等）和公用支出（包括办公费、水电费、邮电费、交通费、会议费、培训费、差旅费等）。</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8.机关运行经费：指为保障机构正常运转、完成日常工作任务而发生的支出（包括办公费、水电费、邮电费、交通费、会议费、培训费、差旅费等）。</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9.项目支出：指在基本支出之外为完成特定行政任务和事业发展目标所发生的支出。</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三公经费”：指单位因公出国（境）费用、公务车运行维护费用以及公务接待费用之和。单位因公出国（境）费用内容主要包括单位工作人员公务出国（境）的住宿费、旅费、伙食补助费、杂费、培训费等支出。公务车运行维护费用内容主要包括车辆燃料费、维修费、过路过桥费、保险费、安全奖励费等支出。 </w:t>
      </w: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both"/>
        <w:rPr>
          <w:rFonts w:hint="default" w:ascii="黑体" w:hAnsi="黑体" w:eastAsia="黑体" w:cs="黑体"/>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69845"/>
    <w:multiLevelType w:val="singleLevel"/>
    <w:tmpl w:val="30469845"/>
    <w:lvl w:ilvl="0" w:tentative="0">
      <w:start w:val="1"/>
      <w:numFmt w:val="decimal"/>
      <w:lvlText w:val="%1."/>
      <w:lvlJc w:val="left"/>
      <w:pPr>
        <w:tabs>
          <w:tab w:val="left" w:pos="312"/>
        </w:tabs>
      </w:pPr>
    </w:lvl>
  </w:abstractNum>
  <w:abstractNum w:abstractNumId="1">
    <w:nsid w:val="3B7A5FFC"/>
    <w:multiLevelType w:val="singleLevel"/>
    <w:tmpl w:val="3B7A5FFC"/>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GJiZmM4OGUzYTQ0MGU3YTU2MzJiYjNiNjQ0OWQifQ=="/>
  </w:docVars>
  <w:rsids>
    <w:rsidRoot w:val="004D7281"/>
    <w:rsid w:val="000B55A7"/>
    <w:rsid w:val="000E712D"/>
    <w:rsid w:val="00117F54"/>
    <w:rsid w:val="001259F2"/>
    <w:rsid w:val="00127597"/>
    <w:rsid w:val="00176847"/>
    <w:rsid w:val="00181E7E"/>
    <w:rsid w:val="00263922"/>
    <w:rsid w:val="00280C92"/>
    <w:rsid w:val="002B11F8"/>
    <w:rsid w:val="00321423"/>
    <w:rsid w:val="0042071B"/>
    <w:rsid w:val="004471E5"/>
    <w:rsid w:val="00481578"/>
    <w:rsid w:val="004D7281"/>
    <w:rsid w:val="005117A8"/>
    <w:rsid w:val="0052484A"/>
    <w:rsid w:val="005446CB"/>
    <w:rsid w:val="005454E7"/>
    <w:rsid w:val="00547792"/>
    <w:rsid w:val="005F4696"/>
    <w:rsid w:val="00614575"/>
    <w:rsid w:val="00674A97"/>
    <w:rsid w:val="007075DF"/>
    <w:rsid w:val="00780056"/>
    <w:rsid w:val="008E7B3C"/>
    <w:rsid w:val="0090622C"/>
    <w:rsid w:val="009C15B3"/>
    <w:rsid w:val="00C472E7"/>
    <w:rsid w:val="00C54F40"/>
    <w:rsid w:val="00C77BB5"/>
    <w:rsid w:val="00CB1052"/>
    <w:rsid w:val="00CB1626"/>
    <w:rsid w:val="00D0175D"/>
    <w:rsid w:val="00D87E03"/>
    <w:rsid w:val="00DB20D2"/>
    <w:rsid w:val="00E644DB"/>
    <w:rsid w:val="00E94377"/>
    <w:rsid w:val="00F27A15"/>
    <w:rsid w:val="00F33A0C"/>
    <w:rsid w:val="00F65303"/>
    <w:rsid w:val="00F929D9"/>
    <w:rsid w:val="046F3C8B"/>
    <w:rsid w:val="07F91DF8"/>
    <w:rsid w:val="081005F9"/>
    <w:rsid w:val="0A376C8A"/>
    <w:rsid w:val="0BF83C28"/>
    <w:rsid w:val="0CD86B76"/>
    <w:rsid w:val="0E232E3D"/>
    <w:rsid w:val="0E534C35"/>
    <w:rsid w:val="0F571FD1"/>
    <w:rsid w:val="0FD27AC3"/>
    <w:rsid w:val="12C64388"/>
    <w:rsid w:val="175D0151"/>
    <w:rsid w:val="18410BA6"/>
    <w:rsid w:val="186968EA"/>
    <w:rsid w:val="1C9A2439"/>
    <w:rsid w:val="1EE04F92"/>
    <w:rsid w:val="22A4338C"/>
    <w:rsid w:val="22D7182D"/>
    <w:rsid w:val="22E968C7"/>
    <w:rsid w:val="25E31A73"/>
    <w:rsid w:val="26627765"/>
    <w:rsid w:val="279A05C6"/>
    <w:rsid w:val="288B531E"/>
    <w:rsid w:val="2D1545C1"/>
    <w:rsid w:val="2D4F4A73"/>
    <w:rsid w:val="2F317F2A"/>
    <w:rsid w:val="32B66A02"/>
    <w:rsid w:val="34FD36E3"/>
    <w:rsid w:val="352A1385"/>
    <w:rsid w:val="35F15FB7"/>
    <w:rsid w:val="37846B7B"/>
    <w:rsid w:val="3816180B"/>
    <w:rsid w:val="3C17425F"/>
    <w:rsid w:val="3CB5145A"/>
    <w:rsid w:val="3FA635D0"/>
    <w:rsid w:val="3FC30D16"/>
    <w:rsid w:val="410348A3"/>
    <w:rsid w:val="42122A24"/>
    <w:rsid w:val="460F77E1"/>
    <w:rsid w:val="463D08DA"/>
    <w:rsid w:val="498554D1"/>
    <w:rsid w:val="4B9207C0"/>
    <w:rsid w:val="4C24115F"/>
    <w:rsid w:val="4F5E0129"/>
    <w:rsid w:val="50970A38"/>
    <w:rsid w:val="53035D44"/>
    <w:rsid w:val="545A56EE"/>
    <w:rsid w:val="564279A5"/>
    <w:rsid w:val="56BB4CE6"/>
    <w:rsid w:val="56EE3A28"/>
    <w:rsid w:val="57DF05CA"/>
    <w:rsid w:val="5A8B2BB8"/>
    <w:rsid w:val="5B7420F2"/>
    <w:rsid w:val="67DD19C3"/>
    <w:rsid w:val="69F21F6A"/>
    <w:rsid w:val="6A580496"/>
    <w:rsid w:val="6D036450"/>
    <w:rsid w:val="6F352D82"/>
    <w:rsid w:val="713A65E8"/>
    <w:rsid w:val="73E33A0D"/>
    <w:rsid w:val="77167654"/>
    <w:rsid w:val="794E05CB"/>
    <w:rsid w:val="7A457BB9"/>
    <w:rsid w:val="7F7E5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eastAsia="仿宋"/>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qFormat/>
    <w:uiPriority w:val="0"/>
    <w:pPr>
      <w:widowControl w:val="0"/>
      <w:spacing w:before="156" w:after="156" w:line="360" w:lineRule="auto"/>
      <w:ind w:left="720" w:firstLine="480" w:firstLineChars="200"/>
      <w:jc w:val="both"/>
    </w:pPr>
    <w:rPr>
      <w:rFonts w:ascii="宋体" w:hAnsi="宋体" w:eastAsia="宋体" w:cs="Calibri"/>
      <w:bCs/>
      <w:kern w:val="2"/>
      <w:sz w:val="24"/>
      <w:szCs w:val="21"/>
      <w:lang w:val="en-US" w:eastAsia="zh-CN" w:bidi="ar-SA"/>
    </w:rPr>
  </w:style>
  <w:style w:type="paragraph" w:styleId="5">
    <w:name w:val="Body Text"/>
    <w:basedOn w:val="1"/>
    <w:qFormat/>
    <w:uiPriority w:val="0"/>
    <w:rPr>
      <w:rFonts w:ascii="Times New Roman" w:hAnsi="Times New Roman" w:eastAsia="仿宋" w:cs="Times New Roman"/>
      <w:sz w:val="32"/>
    </w:rPr>
  </w:style>
  <w:style w:type="paragraph" w:styleId="6">
    <w:name w:val="Body Text Indent"/>
    <w:basedOn w:val="1"/>
    <w:next w:val="7"/>
    <w:qFormat/>
    <w:uiPriority w:val="0"/>
    <w:pPr>
      <w:ind w:left="200" w:leftChars="200"/>
    </w:pPr>
    <w:rPr>
      <w:rFonts w:ascii="Times New Roman" w:hAnsi="Times New Roman"/>
    </w:rPr>
  </w:style>
  <w:style w:type="paragraph" w:styleId="7">
    <w:name w:val="Body Text First Indent 2"/>
    <w:basedOn w:val="6"/>
    <w:next w:val="1"/>
    <w:qFormat/>
    <w:uiPriority w:val="0"/>
    <w:pPr>
      <w:ind w:firstLine="200" w:firstLineChars="200"/>
    </w:p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8"/>
    <w:qFormat/>
    <w:uiPriority w:val="0"/>
    <w:pPr>
      <w:spacing w:beforeAutospacing="1" w:afterAutospacing="1"/>
      <w:jc w:val="left"/>
    </w:pPr>
    <w:rPr>
      <w:kern w:val="0"/>
      <w:sz w:val="24"/>
    </w:rPr>
  </w:style>
  <w:style w:type="paragraph" w:styleId="11">
    <w:name w:val="Title"/>
    <w:basedOn w:val="1"/>
    <w:next w:val="1"/>
    <w:qFormat/>
    <w:uiPriority w:val="0"/>
    <w:pPr>
      <w:outlineLvl w:val="0"/>
    </w:pPr>
    <w:rPr>
      <w:rFonts w:ascii="Calibri" w:hAnsi="Calibri" w:eastAsia="方正小标宋简体" w:cs="Arial"/>
      <w:bCs/>
      <w:sz w:val="40"/>
      <w:szCs w:val="32"/>
    </w:rPr>
  </w:style>
  <w:style w:type="character" w:styleId="14">
    <w:name w:val="Strong"/>
    <w:basedOn w:val="13"/>
    <w:qFormat/>
    <w:uiPriority w:val="0"/>
    <w:rPr>
      <w:b/>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6">
    <w:name w:val="页眉 Char"/>
    <w:basedOn w:val="13"/>
    <w:link w:val="9"/>
    <w:semiHidden/>
    <w:qFormat/>
    <w:uiPriority w:val="99"/>
    <w:rPr>
      <w:rFonts w:ascii="Calibri" w:hAnsi="Calibri" w:eastAsia="宋体" w:cs="Times New Roman"/>
      <w:sz w:val="18"/>
      <w:szCs w:val="18"/>
    </w:rPr>
  </w:style>
  <w:style w:type="character" w:customStyle="1" w:styleId="17">
    <w:name w:val="页脚 Char"/>
    <w:basedOn w:val="13"/>
    <w:link w:val="8"/>
    <w:semiHidden/>
    <w:qFormat/>
    <w:uiPriority w:val="99"/>
    <w:rPr>
      <w:rFonts w:ascii="Calibri" w:hAnsi="Calibri" w:eastAsia="宋体" w:cs="Times New Roman"/>
      <w:sz w:val="18"/>
      <w:szCs w:val="18"/>
    </w:rPr>
  </w:style>
  <w:style w:type="paragraph" w:customStyle="1" w:styleId="18">
    <w:name w:val="Default"/>
    <w:next w:val="19"/>
    <w:qFormat/>
    <w:uiPriority w:val="0"/>
    <w:pPr>
      <w:widowControl w:val="0"/>
      <w:autoSpaceDE w:val="0"/>
      <w:autoSpaceDN w:val="0"/>
      <w:adjustRightInd w:val="0"/>
      <w:spacing w:after="200" w:afterLines="0" w:line="276" w:lineRule="auto"/>
    </w:pPr>
    <w:rPr>
      <w:rFonts w:ascii="黑体" w:hAnsi="Times New Roman" w:eastAsia="黑体" w:cs="黑体"/>
      <w:color w:val="000000"/>
      <w:sz w:val="24"/>
      <w:szCs w:val="24"/>
      <w:lang w:val="en-US" w:eastAsia="zh-CN"/>
    </w:rPr>
  </w:style>
  <w:style w:type="paragraph" w:customStyle="1" w:styleId="19">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72</Pages>
  <Words>25419</Words>
  <Characters>32312</Characters>
  <Lines>23</Lines>
  <Paragraphs>6</Paragraphs>
  <TotalTime>9</TotalTime>
  <ScaleCrop>false</ScaleCrop>
  <LinksUpToDate>false</LinksUpToDate>
  <CharactersWithSpaces>33425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2018-08-02T09:08:00Z</dcterms:created>
  <dc:creator>lh</dc:creator>
  <cp:lastModifiedBy>WPS_1652090215</cp:lastModifiedBy>
  <cp:lastPrinted>2021-09-23T03:57:00Z</cp:lastPrinted>
  <dcterms:modified xsi:type="dcterms:W3CDTF">2023-08-21T08:08:42Z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46F9FB13C105401185DADA76B6E509E3_13</vt:lpwstr>
  </property>
</Properties>
</file>